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662"/>
      </w:tblGrid>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lang w:val="sv-SE"/>
              </w:rPr>
              <w:t xml:space="preserve">TRIAL </w:t>
            </w:r>
            <w:r w:rsidRPr="000B7386">
              <w:rPr>
                <w:rFonts w:ascii="Arial" w:hAnsi="Arial"/>
                <w:bCs/>
                <w:sz w:val="20"/>
              </w:rPr>
              <w:t>TITLE</w:t>
            </w:r>
          </w:p>
        </w:tc>
        <w:tc>
          <w:tcPr>
            <w:tcW w:w="666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 xml:space="preserve">Persistence of major molecular remission (MR3) in chronic myeloid leukemia after </w:t>
            </w:r>
            <w:r w:rsidRPr="00B86DE2">
              <w:rPr>
                <w:rFonts w:ascii="Arial" w:hAnsi="Arial" w:cs="Arial"/>
                <w:sz w:val="20"/>
                <w:szCs w:val="20"/>
                <w:lang w:val="en-US"/>
              </w:rPr>
              <w:t xml:space="preserve">a second stop of TKI </w:t>
            </w:r>
            <w:r>
              <w:rPr>
                <w:rFonts w:ascii="Arial" w:hAnsi="Arial" w:cs="Arial"/>
                <w:sz w:val="20"/>
                <w:szCs w:val="20"/>
                <w:lang w:val="en-US"/>
              </w:rPr>
              <w:t xml:space="preserve">treatment </w:t>
            </w:r>
            <w:r w:rsidRPr="00B86DE2">
              <w:rPr>
                <w:rFonts w:ascii="Arial" w:hAnsi="Arial" w:cs="Arial"/>
                <w:sz w:val="20"/>
                <w:szCs w:val="20"/>
                <w:lang w:val="en-US"/>
              </w:rPr>
              <w:t>in patients who failed an initial stop attempt</w:t>
            </w:r>
            <w:r w:rsidRPr="000B7386">
              <w:rPr>
                <w:rFonts w:ascii="Arial" w:hAnsi="Arial"/>
                <w:bCs/>
                <w:sz w:val="20"/>
              </w:rPr>
              <w:t>.</w:t>
            </w: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SPONSOR</w:t>
            </w:r>
          </w:p>
        </w:tc>
        <w:tc>
          <w:tcPr>
            <w:tcW w:w="6662" w:type="dxa"/>
            <w:shd w:val="clear" w:color="auto" w:fill="auto"/>
          </w:tcPr>
          <w:p w:rsidR="005F7418" w:rsidRPr="000B7386" w:rsidRDefault="005F7418" w:rsidP="00D813C7">
            <w:pPr>
              <w:tabs>
                <w:tab w:val="left" w:pos="2268"/>
              </w:tabs>
              <w:rPr>
                <w:rFonts w:ascii="Arial" w:hAnsi="Arial" w:cs="Arial"/>
                <w:color w:val="C00000"/>
                <w:sz w:val="20"/>
                <w:szCs w:val="20"/>
              </w:rPr>
            </w:pPr>
            <w:r w:rsidRPr="000B7386">
              <w:rPr>
                <w:rFonts w:ascii="Arial" w:hAnsi="Arial" w:cs="Arial"/>
                <w:sz w:val="20"/>
                <w:szCs w:val="20"/>
              </w:rPr>
              <w:t>Uppsala University Hospital, Uppsala, Sweden</w:t>
            </w:r>
            <w:r w:rsidRPr="000B7386">
              <w:rPr>
                <w:rFonts w:ascii="Arial" w:hAnsi="Arial" w:cs="Arial"/>
                <w:color w:val="C00000"/>
                <w:sz w:val="20"/>
                <w:szCs w:val="20"/>
              </w:rPr>
              <w:t xml:space="preserve"> </w:t>
            </w:r>
          </w:p>
          <w:p w:rsidR="005F7418" w:rsidRPr="000B7386" w:rsidRDefault="005F7418" w:rsidP="00D813C7">
            <w:pPr>
              <w:spacing w:before="40" w:afterLines="40" w:after="96"/>
              <w:rPr>
                <w:rFonts w:ascii="Arial" w:hAnsi="Arial"/>
                <w:bCs/>
                <w:sz w:val="20"/>
              </w:rPr>
            </w:pP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INVESTIGATORS</w:t>
            </w:r>
          </w:p>
        </w:tc>
        <w:tc>
          <w:tcPr>
            <w:tcW w:w="6662" w:type="dxa"/>
            <w:shd w:val="clear" w:color="auto" w:fill="auto"/>
          </w:tcPr>
          <w:p w:rsidR="005F7418" w:rsidRPr="000B7386" w:rsidRDefault="005F7418" w:rsidP="00D813C7">
            <w:pPr>
              <w:jc w:val="both"/>
              <w:rPr>
                <w:rFonts w:ascii="Arial" w:hAnsi="Arial"/>
                <w:b/>
                <w:sz w:val="20"/>
                <w:lang w:val="en-US"/>
              </w:rPr>
            </w:pPr>
            <w:r w:rsidRPr="000B7386">
              <w:rPr>
                <w:rFonts w:ascii="Arial" w:hAnsi="Arial"/>
                <w:b/>
                <w:sz w:val="20"/>
                <w:lang w:val="en-US"/>
              </w:rPr>
              <w:t>Main investigators and members of study steering committee:</w:t>
            </w:r>
          </w:p>
          <w:p w:rsidR="005F7418" w:rsidRPr="000B7386" w:rsidRDefault="005F7418" w:rsidP="00D813C7">
            <w:pPr>
              <w:widowControl w:val="0"/>
              <w:autoSpaceDE w:val="0"/>
              <w:autoSpaceDN w:val="0"/>
              <w:adjustRightInd w:val="0"/>
              <w:rPr>
                <w:rFonts w:ascii="Arial" w:hAnsi="Arial" w:cs="Arial"/>
                <w:sz w:val="20"/>
                <w:lang w:val="en-US"/>
              </w:rPr>
            </w:pPr>
            <w:r w:rsidRPr="000B7386">
              <w:rPr>
                <w:rFonts w:ascii="Arial" w:hAnsi="Arial" w:cs="Arial"/>
                <w:b/>
                <w:sz w:val="20"/>
                <w:lang w:val="en-US"/>
              </w:rPr>
              <w:t>Ulla Olsson-Strömberg</w:t>
            </w:r>
            <w:r w:rsidRPr="000B7386">
              <w:rPr>
                <w:rFonts w:ascii="Arial" w:hAnsi="Arial" w:cs="Arial"/>
                <w:sz w:val="20"/>
                <w:lang w:val="en-US"/>
              </w:rPr>
              <w:t>, Department of Hematology, Uppsala University Hospital, Uppsala, Sweden</w:t>
            </w:r>
          </w:p>
          <w:p w:rsidR="005F7418" w:rsidRPr="000B7386" w:rsidRDefault="005F7418" w:rsidP="00D813C7">
            <w:pPr>
              <w:rPr>
                <w:rFonts w:ascii="Arial" w:hAnsi="Arial" w:cs="Arial"/>
                <w:sz w:val="20"/>
                <w:szCs w:val="20"/>
                <w:lang w:val="en-US"/>
              </w:rPr>
            </w:pPr>
            <w:r w:rsidRPr="000B7386">
              <w:rPr>
                <w:rFonts w:ascii="Arial" w:hAnsi="Arial" w:cs="Arial"/>
                <w:b/>
                <w:sz w:val="20"/>
                <w:lang w:val="en-US"/>
              </w:rPr>
              <w:t>Jeroen Janssen,</w:t>
            </w:r>
            <w:r w:rsidRPr="000B7386">
              <w:rPr>
                <w:rFonts w:ascii="Arial" w:hAnsi="Arial" w:cs="Arial"/>
                <w:sz w:val="20"/>
                <w:lang w:val="en-US"/>
              </w:rPr>
              <w:t xml:space="preserve"> Dept. of Hematology, VU University Medical Center, Amsterdam, The </w:t>
            </w:r>
            <w:r w:rsidRPr="000B7386">
              <w:rPr>
                <w:rFonts w:ascii="Arial" w:hAnsi="Arial" w:cs="Arial"/>
                <w:sz w:val="20"/>
                <w:szCs w:val="20"/>
                <w:lang w:val="en-US"/>
              </w:rPr>
              <w:t>Netherlands</w:t>
            </w:r>
          </w:p>
          <w:p w:rsidR="005F7418" w:rsidRPr="00433F37" w:rsidRDefault="005F7418" w:rsidP="00D813C7">
            <w:pPr>
              <w:rPr>
                <w:rFonts w:ascii="Arial" w:hAnsi="Arial" w:cs="Arial"/>
                <w:sz w:val="20"/>
                <w:szCs w:val="20"/>
                <w:lang w:val="fr-FR"/>
              </w:rPr>
            </w:pPr>
            <w:r w:rsidRPr="000B7386">
              <w:rPr>
                <w:rFonts w:ascii="Arial" w:hAnsi="Arial"/>
                <w:b/>
                <w:sz w:val="20"/>
                <w:szCs w:val="20"/>
                <w:lang w:val="fr-FR"/>
              </w:rPr>
              <w:t>Lydia Roy</w:t>
            </w:r>
            <w:r w:rsidRPr="000B7386">
              <w:rPr>
                <w:rFonts w:ascii="Arial" w:hAnsi="Arial" w:cs="Arial"/>
                <w:sz w:val="20"/>
                <w:szCs w:val="20"/>
                <w:lang w:val="fr-FR"/>
              </w:rPr>
              <w:t>,</w:t>
            </w:r>
            <w:r w:rsidRPr="00433F37">
              <w:rPr>
                <w:rFonts w:ascii="Arial" w:hAnsi="Arial" w:cs="Arial"/>
                <w:sz w:val="20"/>
                <w:szCs w:val="20"/>
                <w:lang w:val="fr-FR"/>
              </w:rPr>
              <w:t xml:space="preserve"> Service d’Hématologie Clinique, Centre Hospitalo-Universitaire Henri Mondor Créteil, France </w:t>
            </w:r>
          </w:p>
          <w:p w:rsidR="005F7418" w:rsidRPr="000B7386" w:rsidRDefault="005F7418" w:rsidP="00D813C7">
            <w:pPr>
              <w:rPr>
                <w:rFonts w:ascii="Arial" w:hAnsi="Arial" w:cs="Arial"/>
                <w:sz w:val="20"/>
                <w:szCs w:val="20"/>
                <w:lang w:val="sv-SE"/>
              </w:rPr>
            </w:pPr>
            <w:r w:rsidRPr="000B7386">
              <w:rPr>
                <w:rFonts w:ascii="Arial" w:hAnsi="Arial" w:cs="Arial"/>
                <w:b/>
                <w:sz w:val="20"/>
                <w:szCs w:val="20"/>
                <w:lang w:val="sv-SE"/>
              </w:rPr>
              <w:t>Dominik Wolf</w:t>
            </w:r>
            <w:r w:rsidRPr="000B7386">
              <w:rPr>
                <w:rFonts w:ascii="Arial" w:hAnsi="Arial" w:cs="Arial"/>
                <w:sz w:val="20"/>
                <w:szCs w:val="20"/>
                <w:lang w:val="sv-SE"/>
              </w:rPr>
              <w:t>, Universitätsklinikum Bonn Medizinische Klinik 3Onkologie, Hämatologie und Rheumatologi</w:t>
            </w:r>
            <w:r>
              <w:rPr>
                <w:rFonts w:ascii="Arial" w:hAnsi="Arial" w:cs="Arial"/>
                <w:sz w:val="20"/>
                <w:szCs w:val="20"/>
                <w:lang w:val="sv-SE"/>
              </w:rPr>
              <w:t>e</w:t>
            </w:r>
            <w:r w:rsidRPr="000B7386">
              <w:rPr>
                <w:rFonts w:ascii="Arial" w:hAnsi="Arial" w:cs="Arial"/>
                <w:sz w:val="20"/>
                <w:szCs w:val="20"/>
                <w:lang w:val="sv-SE"/>
              </w:rPr>
              <w:t>, Bonn, Germany</w:t>
            </w:r>
          </w:p>
          <w:p w:rsidR="005F7418" w:rsidRPr="000B7386" w:rsidRDefault="005F7418" w:rsidP="00D813C7">
            <w:pPr>
              <w:rPr>
                <w:rFonts w:ascii="Arial" w:hAnsi="Arial" w:cs="Arial"/>
                <w:sz w:val="20"/>
                <w:lang w:val="en-US"/>
              </w:rPr>
            </w:pPr>
            <w:r w:rsidRPr="000B7386">
              <w:rPr>
                <w:rFonts w:ascii="Arial" w:hAnsi="Arial" w:cs="Arial"/>
                <w:b/>
                <w:sz w:val="20"/>
                <w:lang w:val="en-US"/>
              </w:rPr>
              <w:t>Henrik Hjorth-Hansen,</w:t>
            </w:r>
            <w:r w:rsidRPr="000B7386">
              <w:rPr>
                <w:rFonts w:ascii="Arial" w:hAnsi="Arial" w:cs="Arial"/>
                <w:sz w:val="20"/>
                <w:lang w:val="en-US"/>
              </w:rPr>
              <w:t xml:space="preserve"> Department of Hematology, St Olavs Hospital Trondheim, Norway</w:t>
            </w:r>
          </w:p>
          <w:p w:rsidR="005F7418" w:rsidRPr="000B7386" w:rsidRDefault="005F7418" w:rsidP="00D813C7">
            <w:pPr>
              <w:widowControl w:val="0"/>
              <w:autoSpaceDE w:val="0"/>
              <w:autoSpaceDN w:val="0"/>
              <w:adjustRightInd w:val="0"/>
              <w:jc w:val="both"/>
              <w:rPr>
                <w:rFonts w:ascii="Arial" w:hAnsi="Arial" w:cs="Arial"/>
                <w:sz w:val="20"/>
                <w:szCs w:val="20"/>
                <w:lang w:val="en-US"/>
              </w:rPr>
            </w:pPr>
            <w:r w:rsidRPr="000B7386">
              <w:rPr>
                <w:rFonts w:ascii="Arial" w:hAnsi="Arial" w:cs="Arial"/>
                <w:b/>
                <w:sz w:val="20"/>
                <w:szCs w:val="20"/>
                <w:lang w:val="en-US"/>
              </w:rPr>
              <w:t>Waleed Majeed Mohammed</w:t>
            </w:r>
            <w:r>
              <w:rPr>
                <w:rFonts w:ascii="Arial" w:hAnsi="Arial" w:cs="Arial"/>
                <w:sz w:val="20"/>
                <w:szCs w:val="20"/>
                <w:lang w:val="en-US"/>
              </w:rPr>
              <w:t xml:space="preserve">, </w:t>
            </w:r>
            <w:r w:rsidRPr="000B7386">
              <w:rPr>
                <w:rFonts w:ascii="Arial" w:hAnsi="Arial" w:cs="Arial"/>
                <w:sz w:val="20"/>
                <w:szCs w:val="20"/>
                <w:lang w:val="en-US"/>
              </w:rPr>
              <w:t>Department of Blood and Cancer diseases</w:t>
            </w:r>
          </w:p>
          <w:p w:rsidR="005F7418" w:rsidRPr="000B7386" w:rsidRDefault="005F7418" w:rsidP="00D813C7">
            <w:pPr>
              <w:widowControl w:val="0"/>
              <w:autoSpaceDE w:val="0"/>
              <w:autoSpaceDN w:val="0"/>
              <w:adjustRightInd w:val="0"/>
              <w:jc w:val="both"/>
              <w:rPr>
                <w:rFonts w:ascii="Arial" w:hAnsi="Arial" w:cs="Arial"/>
                <w:sz w:val="20"/>
                <w:szCs w:val="20"/>
                <w:lang w:val="en-US"/>
              </w:rPr>
            </w:pPr>
            <w:r w:rsidRPr="000B7386">
              <w:rPr>
                <w:rFonts w:ascii="Arial" w:hAnsi="Arial" w:cs="Arial"/>
                <w:sz w:val="20"/>
                <w:szCs w:val="20"/>
                <w:lang w:val="en-US"/>
              </w:rPr>
              <w:t>Stavanger University Hospital, Stavanger, Norway</w:t>
            </w:r>
          </w:p>
          <w:p w:rsidR="005F7418" w:rsidRPr="000B7386" w:rsidRDefault="005F7418" w:rsidP="00D813C7">
            <w:pPr>
              <w:jc w:val="both"/>
              <w:rPr>
                <w:rFonts w:ascii="Arial" w:hAnsi="Arial" w:cs="Arial"/>
                <w:sz w:val="20"/>
                <w:szCs w:val="20"/>
                <w:lang w:val="en-US"/>
              </w:rPr>
            </w:pPr>
            <w:r w:rsidRPr="000B7386">
              <w:rPr>
                <w:rFonts w:ascii="Arial" w:hAnsi="Arial" w:cs="Arial"/>
                <w:b/>
                <w:sz w:val="20"/>
                <w:szCs w:val="20"/>
                <w:lang w:val="en-US"/>
              </w:rPr>
              <w:t>Johan Richter</w:t>
            </w:r>
            <w:r>
              <w:rPr>
                <w:rFonts w:ascii="Arial" w:hAnsi="Arial" w:cs="Arial"/>
                <w:b/>
                <w:sz w:val="20"/>
                <w:szCs w:val="20"/>
                <w:lang w:val="en-US"/>
              </w:rPr>
              <w:t>,</w:t>
            </w:r>
            <w:r w:rsidRPr="000B7386">
              <w:rPr>
                <w:rFonts w:ascii="Arial" w:hAnsi="Arial" w:cs="Arial"/>
                <w:sz w:val="20"/>
                <w:szCs w:val="20"/>
                <w:lang w:val="en-US"/>
              </w:rPr>
              <w:t xml:space="preserve"> Dept. of</w:t>
            </w:r>
            <w:r>
              <w:rPr>
                <w:rFonts w:ascii="Arial" w:hAnsi="Arial" w:cs="Arial"/>
                <w:sz w:val="20"/>
                <w:szCs w:val="20"/>
                <w:lang w:val="en-US"/>
              </w:rPr>
              <w:t xml:space="preserve"> Hematology, Oncology and Radiation Physics</w:t>
            </w:r>
            <w:r w:rsidRPr="000B7386">
              <w:rPr>
                <w:rFonts w:ascii="Arial" w:hAnsi="Arial" w:cs="Arial"/>
                <w:sz w:val="20"/>
                <w:szCs w:val="20"/>
                <w:lang w:val="en-US"/>
              </w:rPr>
              <w:t>, Skåne University Hospital, Lund, Sweden</w:t>
            </w:r>
          </w:p>
          <w:p w:rsidR="005F7418" w:rsidRPr="000B7386" w:rsidRDefault="005F7418" w:rsidP="00D813C7">
            <w:pPr>
              <w:rPr>
                <w:rFonts w:ascii="Arial" w:eastAsia="Times New Roman" w:hAnsi="Arial" w:cs="Arial"/>
                <w:sz w:val="20"/>
                <w:szCs w:val="20"/>
                <w:u w:color="494949"/>
                <w:shd w:val="clear" w:color="auto" w:fill="FFFFFF"/>
                <w:lang w:val="en-US" w:eastAsia="en-US"/>
              </w:rPr>
            </w:pPr>
            <w:r w:rsidRPr="000B7386">
              <w:rPr>
                <w:rFonts w:ascii="Arial" w:eastAsia="Times New Roman" w:hAnsi="Arial" w:cs="Arial"/>
                <w:b/>
                <w:sz w:val="20"/>
                <w:szCs w:val="20"/>
                <w:u w:color="494949"/>
                <w:shd w:val="clear" w:color="auto" w:fill="FFFFFF"/>
                <w:lang w:val="en-US" w:eastAsia="en-US"/>
              </w:rPr>
              <w:t>Satu Mustjoki</w:t>
            </w:r>
            <w:r w:rsidRPr="000B7386">
              <w:rPr>
                <w:rFonts w:ascii="Arial" w:eastAsia="Times New Roman" w:hAnsi="Arial" w:cs="Arial"/>
                <w:sz w:val="20"/>
                <w:szCs w:val="20"/>
                <w:u w:color="494949"/>
                <w:shd w:val="clear" w:color="auto" w:fill="FFFFFF"/>
                <w:lang w:val="en-US" w:eastAsia="en-US"/>
              </w:rPr>
              <w:t xml:space="preserve"> Hematology Research Unit Helsinki, Department of Hematology, University of Helsinki and Helsinki University Central Hospital Comprehensive Cancer Center, Helsinki, Finland</w:t>
            </w:r>
          </w:p>
          <w:p w:rsidR="005F7418" w:rsidRPr="000B7386" w:rsidRDefault="005F7418" w:rsidP="00D813C7">
            <w:pPr>
              <w:rPr>
                <w:rFonts w:ascii="Arial" w:eastAsia="Times New Roman" w:hAnsi="Arial" w:cs="Arial"/>
                <w:sz w:val="20"/>
                <w:szCs w:val="20"/>
                <w:u w:color="494949"/>
                <w:shd w:val="clear" w:color="auto" w:fill="FFFFFF"/>
                <w:lang w:val="en-US" w:eastAsia="en-US"/>
              </w:rPr>
            </w:pPr>
            <w:r w:rsidRPr="000B7386">
              <w:rPr>
                <w:rFonts w:ascii="Arial" w:eastAsia="Times New Roman" w:hAnsi="Arial" w:cs="Arial"/>
                <w:b/>
                <w:sz w:val="20"/>
                <w:szCs w:val="20"/>
                <w:u w:color="494949"/>
                <w:shd w:val="clear" w:color="auto" w:fill="FFFFFF"/>
                <w:lang w:val="en-US" w:eastAsia="en-US"/>
              </w:rPr>
              <w:t>Perttu Koskenvesa</w:t>
            </w:r>
            <w:r w:rsidRPr="000B7386">
              <w:rPr>
                <w:rFonts w:ascii="Arial" w:eastAsia="Times New Roman" w:hAnsi="Arial" w:cs="Arial"/>
                <w:sz w:val="20"/>
                <w:szCs w:val="20"/>
                <w:u w:color="494949"/>
                <w:shd w:val="clear" w:color="auto" w:fill="FFFFFF"/>
                <w:lang w:val="en-US" w:eastAsia="en-US"/>
              </w:rPr>
              <w:t xml:space="preserve"> Hematology Research Unit Helsinki, Department of Hematology, University of Helsinki and Helsinki University Central Hospital Comprehensive Cancer Center, Helsinki, Finland</w:t>
            </w:r>
          </w:p>
          <w:p w:rsidR="005F7418" w:rsidRDefault="005F7418" w:rsidP="00D813C7">
            <w:pPr>
              <w:rPr>
                <w:rFonts w:ascii="Arial" w:hAnsi="Arial" w:cs="Arial"/>
                <w:sz w:val="20"/>
                <w:szCs w:val="20"/>
                <w:lang w:val="en-US" w:eastAsia="sv-SE"/>
              </w:rPr>
            </w:pPr>
            <w:r w:rsidRPr="001C264A">
              <w:rPr>
                <w:rFonts w:ascii="Arial" w:hAnsi="Arial" w:cs="Arial"/>
                <w:b/>
                <w:sz w:val="20"/>
                <w:szCs w:val="20"/>
                <w:lang w:val="en-US" w:eastAsia="sv-SE"/>
              </w:rPr>
              <w:t>Andreja Dimitrijevic</w:t>
            </w:r>
            <w:r>
              <w:rPr>
                <w:rFonts w:ascii="Arial" w:hAnsi="Arial" w:cs="Arial"/>
                <w:sz w:val="20"/>
                <w:szCs w:val="20"/>
                <w:lang w:val="en-US" w:eastAsia="sv-SE"/>
              </w:rPr>
              <w:t>, Department of Hematology, Odense University Hospital, Odense, Denmark</w:t>
            </w:r>
          </w:p>
          <w:p w:rsidR="005F7418" w:rsidRPr="000B7386" w:rsidRDefault="005F7418" w:rsidP="00D813C7">
            <w:pPr>
              <w:jc w:val="both"/>
              <w:rPr>
                <w:rFonts w:ascii="Arial" w:hAnsi="Arial" w:cs="Arial"/>
                <w:sz w:val="20"/>
                <w:lang w:val="en-US"/>
              </w:rPr>
            </w:pPr>
            <w:r w:rsidRPr="000B7386">
              <w:rPr>
                <w:rFonts w:ascii="Arial" w:hAnsi="Arial" w:cs="Arial"/>
                <w:b/>
                <w:sz w:val="20"/>
                <w:lang w:val="en-US"/>
              </w:rPr>
              <w:t>Jesper Stentoft</w:t>
            </w:r>
            <w:r w:rsidRPr="000B7386">
              <w:rPr>
                <w:rFonts w:ascii="Arial" w:hAnsi="Arial" w:cs="Arial"/>
                <w:sz w:val="20"/>
                <w:lang w:val="en-US"/>
              </w:rPr>
              <w:t>, Department of Hematology, Aarhus University Hospital, Aarhus, Denmark</w:t>
            </w:r>
          </w:p>
          <w:p w:rsidR="005F7418" w:rsidRPr="001E13E0" w:rsidRDefault="005F7418" w:rsidP="00D813C7">
            <w:pPr>
              <w:jc w:val="both"/>
              <w:rPr>
                <w:rFonts w:ascii="Arial" w:hAnsi="Arial" w:cs="Arial"/>
                <w:bCs/>
                <w:sz w:val="20"/>
                <w:lang w:val="en-US"/>
              </w:rPr>
            </w:pPr>
            <w:r w:rsidRPr="000B7386">
              <w:rPr>
                <w:rFonts w:ascii="Arial" w:hAnsi="Arial"/>
                <w:b/>
                <w:sz w:val="20"/>
                <w:lang w:val="en-US"/>
              </w:rPr>
              <w:t>Co-Investigators:</w:t>
            </w:r>
            <w:r w:rsidRPr="000B7386">
              <w:rPr>
                <w:rFonts w:ascii="Arial" w:hAnsi="Arial" w:cs="Arial"/>
                <w:sz w:val="20"/>
              </w:rPr>
              <w:t xml:space="preserve"> See appendix.</w:t>
            </w: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BIOSTATISTICIANS</w:t>
            </w:r>
          </w:p>
        </w:tc>
        <w:tc>
          <w:tcPr>
            <w:tcW w:w="6662" w:type="dxa"/>
            <w:shd w:val="clear" w:color="auto" w:fill="auto"/>
          </w:tcPr>
          <w:p w:rsidR="005F7418" w:rsidRPr="000B7386" w:rsidRDefault="005F7418" w:rsidP="00D813C7">
            <w:pPr>
              <w:rPr>
                <w:rFonts w:ascii="Arial" w:hAnsi="Arial"/>
                <w:bCs/>
                <w:lang w:val="de-DE"/>
              </w:rPr>
            </w:pPr>
            <w:r w:rsidRPr="000B7386">
              <w:rPr>
                <w:rFonts w:ascii="Arial" w:hAnsi="Arial"/>
                <w:bCs/>
                <w:sz w:val="20"/>
                <w:lang w:val="fr-FR"/>
              </w:rPr>
              <w:t>Inger Persson, Uppsala, Sweden</w:t>
            </w:r>
          </w:p>
        </w:tc>
      </w:tr>
      <w:tr w:rsidR="005F7418" w:rsidRPr="004A4B1D" w:rsidTr="00D813C7">
        <w:tc>
          <w:tcPr>
            <w:tcW w:w="2622" w:type="dxa"/>
            <w:shd w:val="clear" w:color="auto" w:fill="auto"/>
          </w:tcPr>
          <w:p w:rsidR="005F7418" w:rsidRPr="004A4B1D" w:rsidRDefault="005F7418" w:rsidP="00D813C7">
            <w:pPr>
              <w:spacing w:before="40" w:afterLines="40" w:after="96"/>
              <w:rPr>
                <w:rFonts w:ascii="Arial" w:hAnsi="Arial" w:cs="Arial"/>
                <w:sz w:val="20"/>
                <w:szCs w:val="20"/>
              </w:rPr>
            </w:pPr>
            <w:r>
              <w:rPr>
                <w:rFonts w:ascii="Arial" w:hAnsi="Arial" w:cs="Arial"/>
                <w:sz w:val="20"/>
                <w:szCs w:val="20"/>
              </w:rPr>
              <w:t>MOLECULAR MONI</w:t>
            </w:r>
            <w:r w:rsidRPr="004A4B1D">
              <w:rPr>
                <w:rFonts w:ascii="Arial" w:hAnsi="Arial" w:cs="Arial"/>
                <w:sz w:val="20"/>
                <w:szCs w:val="20"/>
              </w:rPr>
              <w:t>TO</w:t>
            </w:r>
            <w:r>
              <w:rPr>
                <w:rFonts w:ascii="Arial" w:hAnsi="Arial" w:cs="Arial"/>
                <w:sz w:val="20"/>
                <w:szCs w:val="20"/>
              </w:rPr>
              <w:t>R</w:t>
            </w:r>
            <w:r w:rsidRPr="004A4B1D">
              <w:rPr>
                <w:rFonts w:ascii="Arial" w:hAnsi="Arial" w:cs="Arial"/>
                <w:sz w:val="20"/>
                <w:szCs w:val="20"/>
              </w:rPr>
              <w:t xml:space="preserve">ING </w:t>
            </w:r>
          </w:p>
        </w:tc>
        <w:tc>
          <w:tcPr>
            <w:tcW w:w="6662" w:type="dxa"/>
            <w:shd w:val="clear" w:color="auto" w:fill="auto"/>
          </w:tcPr>
          <w:p w:rsidR="005F7418" w:rsidRPr="004A4B1D" w:rsidRDefault="005F7418" w:rsidP="00D813C7">
            <w:pPr>
              <w:spacing w:line="360" w:lineRule="auto"/>
              <w:ind w:right="50"/>
              <w:rPr>
                <w:rFonts w:ascii="Arial" w:hAnsi="Arial" w:cs="Arial"/>
                <w:bCs/>
                <w:sz w:val="20"/>
                <w:szCs w:val="20"/>
                <w:lang w:val="fr-FR"/>
              </w:rPr>
            </w:pPr>
            <w:r w:rsidRPr="004A4B1D">
              <w:rPr>
                <w:rFonts w:ascii="Arial" w:hAnsi="Arial" w:cs="Arial"/>
                <w:sz w:val="20"/>
                <w:szCs w:val="20"/>
                <w:lang w:val="sv-SE"/>
              </w:rPr>
              <w:t xml:space="preserve">Hans Ehrencrona, Lund, Sweden </w:t>
            </w: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TRIAL DESIGN</w:t>
            </w:r>
          </w:p>
        </w:tc>
        <w:tc>
          <w:tcPr>
            <w:tcW w:w="6662" w:type="dxa"/>
            <w:shd w:val="clear" w:color="auto" w:fill="auto"/>
          </w:tcPr>
          <w:p w:rsidR="005F7418" w:rsidRPr="000B7386" w:rsidRDefault="005F7418" w:rsidP="00D813C7">
            <w:pPr>
              <w:spacing w:before="40" w:afterLines="40" w:after="96"/>
              <w:rPr>
                <w:rFonts w:ascii="Arial" w:hAnsi="Arial"/>
                <w:bCs/>
                <w:sz w:val="20"/>
                <w:bdr w:val="single" w:sz="4" w:space="0" w:color="CCFFFF"/>
                <w:shd w:val="clear" w:color="auto" w:fill="CCFFFF"/>
              </w:rPr>
            </w:pPr>
            <w:r w:rsidRPr="000B7386">
              <w:rPr>
                <w:rFonts w:ascii="Arial" w:hAnsi="Arial"/>
                <w:bCs/>
                <w:sz w:val="20"/>
              </w:rPr>
              <w:t>Multicenter study, prospective, open label, uncontrolled.</w:t>
            </w:r>
            <w:r w:rsidRPr="000B7386">
              <w:rPr>
                <w:rFonts w:ascii="Arial" w:hAnsi="Arial"/>
                <w:bCs/>
                <w:sz w:val="20"/>
                <w:bdr w:val="single" w:sz="4" w:space="0" w:color="CCFFFF"/>
                <w:shd w:val="clear" w:color="auto" w:fill="CCFFFF"/>
              </w:rPr>
              <w:t xml:space="preserve"> </w:t>
            </w: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OBJECTIVE</w:t>
            </w:r>
          </w:p>
        </w:tc>
        <w:tc>
          <w:tcPr>
            <w:tcW w:w="6662" w:type="dxa"/>
            <w:shd w:val="clear" w:color="auto" w:fill="auto"/>
          </w:tcPr>
          <w:p w:rsidR="005F7418" w:rsidRDefault="005F7418" w:rsidP="00D813C7">
            <w:pPr>
              <w:spacing w:before="40" w:afterLines="40" w:after="96"/>
              <w:jc w:val="both"/>
              <w:rPr>
                <w:rFonts w:ascii="Arial" w:hAnsi="Arial"/>
                <w:b/>
                <w:sz w:val="20"/>
              </w:rPr>
            </w:pPr>
            <w:r w:rsidRPr="000B7386">
              <w:rPr>
                <w:rFonts w:ascii="Arial" w:hAnsi="Arial"/>
                <w:b/>
                <w:sz w:val="20"/>
              </w:rPr>
              <w:t>Main objective:</w:t>
            </w:r>
          </w:p>
          <w:p w:rsidR="005F7418" w:rsidRDefault="005F7418" w:rsidP="00D813C7">
            <w:pPr>
              <w:rPr>
                <w:rFonts w:ascii="Arial" w:hAnsi="Arial" w:cs="Arial"/>
                <w:sz w:val="20"/>
              </w:rPr>
            </w:pPr>
            <w:r>
              <w:rPr>
                <w:rFonts w:ascii="Arial" w:hAnsi="Arial" w:cs="Arial"/>
                <w:sz w:val="20"/>
              </w:rPr>
              <w:t xml:space="preserve">Assessment of treatment-free remission (persistence of MMR) after second attempt of TKI discontinuation in patients who failed a relapsed in the EURO-SKI study or under EURO-SKI like conditions. Patients must have received at least </w:t>
            </w:r>
            <w:r>
              <w:rPr>
                <w:rFonts w:ascii="Arial" w:hAnsi="Arial" w:cs="Arial"/>
                <w:sz w:val="20"/>
                <w:u w:val="single"/>
              </w:rPr>
              <w:t>three</w:t>
            </w:r>
            <w:r>
              <w:rPr>
                <w:rFonts w:ascii="Arial" w:hAnsi="Arial" w:cs="Arial"/>
                <w:sz w:val="20"/>
              </w:rPr>
              <w:t xml:space="preserve"> years of further TKI treatment of which the two last years should be dasatinib. The patients must have been in MR</w:t>
            </w:r>
            <w:r>
              <w:rPr>
                <w:rFonts w:ascii="Arial" w:hAnsi="Arial" w:cs="Arial"/>
                <w:sz w:val="20"/>
                <w:vertAlign w:val="superscript"/>
              </w:rPr>
              <w:t>4</w:t>
            </w:r>
            <w:r>
              <w:rPr>
                <w:rFonts w:ascii="Arial" w:hAnsi="Arial" w:cs="Arial"/>
                <w:sz w:val="20"/>
              </w:rPr>
              <w:t xml:space="preserve"> for at least </w:t>
            </w:r>
            <w:r>
              <w:rPr>
                <w:rFonts w:ascii="Arial" w:hAnsi="Arial" w:cs="Arial"/>
                <w:sz w:val="20"/>
                <w:u w:val="single"/>
              </w:rPr>
              <w:t>one</w:t>
            </w:r>
            <w:r>
              <w:rPr>
                <w:rFonts w:ascii="Arial" w:hAnsi="Arial" w:cs="Arial"/>
                <w:sz w:val="20"/>
              </w:rPr>
              <w:t xml:space="preserve"> year. </w:t>
            </w:r>
          </w:p>
          <w:p w:rsidR="005F7418" w:rsidRDefault="005F7418" w:rsidP="00D813C7">
            <w:pPr>
              <w:rPr>
                <w:rFonts w:ascii="Arial" w:hAnsi="Arial" w:cs="Arial"/>
                <w:sz w:val="20"/>
              </w:rPr>
            </w:pPr>
          </w:p>
          <w:p w:rsidR="005F7418" w:rsidRDefault="005F7418" w:rsidP="00D813C7">
            <w:pPr>
              <w:spacing w:before="40" w:afterLines="40" w:after="96"/>
              <w:jc w:val="both"/>
              <w:rPr>
                <w:rFonts w:ascii="Arial" w:hAnsi="Arial"/>
                <w:b/>
                <w:color w:val="000000"/>
                <w:sz w:val="20"/>
              </w:rPr>
            </w:pPr>
            <w:r>
              <w:rPr>
                <w:rFonts w:ascii="Arial" w:hAnsi="Arial"/>
                <w:b/>
                <w:color w:val="000000"/>
                <w:sz w:val="20"/>
              </w:rPr>
              <w:t>Secondary objectives:</w:t>
            </w:r>
          </w:p>
          <w:p w:rsidR="005F7418" w:rsidRDefault="005F7418" w:rsidP="005F7418">
            <w:pPr>
              <w:numPr>
                <w:ilvl w:val="0"/>
                <w:numId w:val="3"/>
              </w:numPr>
              <w:spacing w:before="40" w:afterLines="40" w:after="96"/>
              <w:jc w:val="both"/>
              <w:rPr>
                <w:rFonts w:ascii="Arial" w:hAnsi="Arial"/>
                <w:sz w:val="20"/>
              </w:rPr>
            </w:pPr>
            <w:r>
              <w:rPr>
                <w:rFonts w:ascii="Arial" w:hAnsi="Arial"/>
                <w:sz w:val="20"/>
              </w:rPr>
              <w:t xml:space="preserve">Identification of clinical and biological factors correlating with the persistence of MMR or better after stopping TKI a second time. </w:t>
            </w:r>
          </w:p>
          <w:p w:rsidR="005F7418" w:rsidRDefault="005F7418" w:rsidP="005F7418">
            <w:pPr>
              <w:numPr>
                <w:ilvl w:val="0"/>
                <w:numId w:val="3"/>
              </w:numPr>
              <w:spacing w:before="40" w:afterLines="40" w:after="96"/>
              <w:jc w:val="both"/>
              <w:rPr>
                <w:rFonts w:ascii="Arial" w:hAnsi="Arial"/>
                <w:sz w:val="20"/>
              </w:rPr>
            </w:pPr>
            <w:r>
              <w:rPr>
                <w:rFonts w:ascii="Arial" w:hAnsi="Arial"/>
                <w:sz w:val="20"/>
              </w:rPr>
              <w:t>Estimation of overall and progression free survival</w:t>
            </w:r>
          </w:p>
          <w:p w:rsidR="005F7418" w:rsidRDefault="005F7418" w:rsidP="005F7418">
            <w:pPr>
              <w:numPr>
                <w:ilvl w:val="0"/>
                <w:numId w:val="3"/>
              </w:numPr>
              <w:spacing w:before="40" w:afterLines="40" w:after="96"/>
              <w:jc w:val="both"/>
              <w:rPr>
                <w:rFonts w:ascii="Arial" w:hAnsi="Arial"/>
                <w:color w:val="000000"/>
                <w:sz w:val="20"/>
              </w:rPr>
            </w:pPr>
            <w:r>
              <w:rPr>
                <w:rFonts w:ascii="Arial" w:hAnsi="Arial"/>
                <w:sz w:val="20"/>
              </w:rPr>
              <w:t>Time to re-achievement of MR</w:t>
            </w:r>
            <w:r>
              <w:rPr>
                <w:rFonts w:ascii="Arial" w:hAnsi="Arial"/>
                <w:sz w:val="20"/>
                <w:vertAlign w:val="superscript"/>
              </w:rPr>
              <w:t xml:space="preserve">4 </w:t>
            </w:r>
            <w:r>
              <w:rPr>
                <w:rFonts w:ascii="Arial" w:hAnsi="Arial"/>
                <w:sz w:val="20"/>
              </w:rPr>
              <w:t>after restart of therapy following a second molecular relapse</w:t>
            </w:r>
          </w:p>
          <w:p w:rsidR="005F7418" w:rsidRPr="00937EAC" w:rsidRDefault="005F7418" w:rsidP="005F7418">
            <w:pPr>
              <w:pStyle w:val="Liststycke"/>
              <w:numPr>
                <w:ilvl w:val="0"/>
                <w:numId w:val="3"/>
              </w:numPr>
              <w:spacing w:before="40" w:afterLines="40" w:after="96"/>
              <w:jc w:val="both"/>
              <w:rPr>
                <w:rFonts w:ascii="Arial" w:eastAsia="Times New Roman" w:hAnsi="Arial"/>
                <w:b/>
                <w:color w:val="000000"/>
                <w:sz w:val="20"/>
              </w:rPr>
            </w:pPr>
            <w:r w:rsidRPr="00937EAC">
              <w:rPr>
                <w:rFonts w:ascii="Arial" w:hAnsi="Arial"/>
                <w:sz w:val="20"/>
              </w:rPr>
              <w:t>Assessment of incidence of any AEs (e.g. from treatment related musculoskeletal AE ) that arise after stopping TKI treatment a second time</w:t>
            </w:r>
            <w:r w:rsidRPr="00937EAC">
              <w:rPr>
                <w:rFonts w:ascii="Arial" w:eastAsia="Times New Roman" w:hAnsi="Arial"/>
                <w:b/>
                <w:color w:val="000000"/>
                <w:sz w:val="20"/>
              </w:rPr>
              <w:t>.</w:t>
            </w: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
                <w:bCs/>
                <w:sz w:val="20"/>
              </w:rPr>
            </w:pPr>
            <w:r w:rsidRPr="000B7386">
              <w:rPr>
                <w:rFonts w:ascii="Arial" w:hAnsi="Arial"/>
                <w:bCs/>
                <w:sz w:val="20"/>
              </w:rPr>
              <w:lastRenderedPageBreak/>
              <w:t>PRIMARY END POINT</w:t>
            </w:r>
          </w:p>
        </w:tc>
        <w:tc>
          <w:tcPr>
            <w:tcW w:w="666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 xml:space="preserve">The proportion of patients maintaining MMR </w:t>
            </w:r>
            <w:r>
              <w:rPr>
                <w:rFonts w:ascii="Arial" w:hAnsi="Arial"/>
                <w:bCs/>
                <w:sz w:val="20"/>
              </w:rPr>
              <w:t xml:space="preserve">at 6 and 12 months </w:t>
            </w:r>
            <w:r w:rsidRPr="000B7386">
              <w:rPr>
                <w:rFonts w:ascii="Arial" w:hAnsi="Arial"/>
                <w:bCs/>
                <w:sz w:val="20"/>
              </w:rPr>
              <w:t>after discontinuing TKI a second time (survival without loss of major molecular response, MMR, defined as BCR-ABL1 &gt; 0.1% on IS at one time point).</w:t>
            </w: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 xml:space="preserve">SECONDARY </w:t>
            </w:r>
          </w:p>
          <w:p w:rsidR="005F7418" w:rsidRPr="000B7386" w:rsidRDefault="005F7418" w:rsidP="00D813C7">
            <w:pPr>
              <w:spacing w:before="40" w:afterLines="40" w:after="96"/>
              <w:rPr>
                <w:rFonts w:ascii="Arial" w:hAnsi="Arial"/>
                <w:bCs/>
                <w:sz w:val="20"/>
              </w:rPr>
            </w:pPr>
            <w:r w:rsidRPr="000B7386">
              <w:rPr>
                <w:rFonts w:ascii="Arial" w:hAnsi="Arial"/>
                <w:bCs/>
                <w:sz w:val="20"/>
              </w:rPr>
              <w:t>END POINTS</w:t>
            </w:r>
          </w:p>
        </w:tc>
        <w:tc>
          <w:tcPr>
            <w:tcW w:w="6662" w:type="dxa"/>
            <w:shd w:val="clear" w:color="auto" w:fill="auto"/>
          </w:tcPr>
          <w:p w:rsidR="005F7418" w:rsidRPr="00AB4EC6" w:rsidRDefault="005F7418" w:rsidP="00D813C7">
            <w:pPr>
              <w:spacing w:before="40" w:afterLines="40" w:after="96"/>
              <w:ind w:left="-5"/>
              <w:rPr>
                <w:rFonts w:ascii="Arial" w:hAnsi="Arial"/>
                <w:bCs/>
                <w:sz w:val="20"/>
              </w:rPr>
            </w:pPr>
            <w:r w:rsidRPr="00AB4EC6">
              <w:rPr>
                <w:rFonts w:ascii="Arial" w:hAnsi="Arial"/>
                <w:bCs/>
                <w:sz w:val="20"/>
              </w:rPr>
              <w:t>Assessment of:</w:t>
            </w:r>
          </w:p>
          <w:p w:rsidR="005F7418" w:rsidRPr="00AB4EC6" w:rsidRDefault="005F7418" w:rsidP="005F7418">
            <w:pPr>
              <w:pStyle w:val="Liststycke"/>
              <w:numPr>
                <w:ilvl w:val="0"/>
                <w:numId w:val="6"/>
              </w:numPr>
              <w:spacing w:before="40" w:afterLines="40" w:after="96"/>
              <w:rPr>
                <w:rFonts w:ascii="Arial" w:hAnsi="Arial"/>
                <w:bCs/>
                <w:sz w:val="20"/>
              </w:rPr>
            </w:pPr>
            <w:r w:rsidRPr="00AB4EC6">
              <w:rPr>
                <w:rFonts w:ascii="Arial" w:hAnsi="Arial"/>
                <w:bCs/>
                <w:sz w:val="20"/>
              </w:rPr>
              <w:t>Clinical and biological factors correlating with persistence of MMR or better after second TKI stop (BCR-ABL level before 2nd stop, Sokal score, gender, duration and type of TKI-treatment, duration of first TKI-stop, immunological biomarkers)</w:t>
            </w:r>
          </w:p>
          <w:p w:rsidR="005F7418" w:rsidRPr="00AB4EC6" w:rsidRDefault="005F7418" w:rsidP="005F7418">
            <w:pPr>
              <w:numPr>
                <w:ilvl w:val="0"/>
                <w:numId w:val="6"/>
              </w:numPr>
              <w:spacing w:before="40" w:afterLines="40" w:after="96"/>
              <w:rPr>
                <w:rFonts w:ascii="Arial" w:hAnsi="Arial"/>
                <w:bCs/>
                <w:sz w:val="20"/>
              </w:rPr>
            </w:pPr>
            <w:r w:rsidRPr="00AB4EC6">
              <w:rPr>
                <w:rFonts w:ascii="Arial" w:hAnsi="Arial"/>
                <w:sz w:val="20"/>
              </w:rPr>
              <w:t>Number of patients who re-achieved stable MR</w:t>
            </w:r>
            <w:r w:rsidRPr="00AB4EC6">
              <w:rPr>
                <w:rFonts w:ascii="Arial" w:hAnsi="Arial"/>
                <w:sz w:val="20"/>
                <w:vertAlign w:val="superscript"/>
              </w:rPr>
              <w:t>4</w:t>
            </w:r>
            <w:r w:rsidRPr="00AB4EC6">
              <w:rPr>
                <w:rFonts w:ascii="Arial" w:hAnsi="Arial"/>
                <w:sz w:val="20"/>
              </w:rPr>
              <w:t xml:space="preserve">, and were offered study participation;.and </w:t>
            </w:r>
            <w:r w:rsidRPr="00AB4EC6">
              <w:rPr>
                <w:rFonts w:ascii="Arial" w:hAnsi="Arial"/>
                <w:bCs/>
                <w:sz w:val="20"/>
              </w:rPr>
              <w:t>Overall and progression-free survival and the occurrence of a restart of TKI without prior molecular relapse .</w:t>
            </w:r>
          </w:p>
          <w:p w:rsidR="005F7418" w:rsidRPr="00AB4EC6" w:rsidRDefault="005F7418" w:rsidP="005F7418">
            <w:pPr>
              <w:numPr>
                <w:ilvl w:val="0"/>
                <w:numId w:val="6"/>
              </w:numPr>
              <w:spacing w:before="40" w:afterLines="40" w:after="96"/>
              <w:rPr>
                <w:rFonts w:ascii="Arial" w:eastAsia="Times New Roman" w:hAnsi="Arial"/>
                <w:bCs/>
                <w:sz w:val="20"/>
              </w:rPr>
            </w:pPr>
            <w:r w:rsidRPr="00AB4EC6">
              <w:rPr>
                <w:rFonts w:ascii="Arial" w:hAnsi="Arial"/>
                <w:bCs/>
                <w:sz w:val="20"/>
              </w:rPr>
              <w:t>Time to reachievement of MR</w:t>
            </w:r>
            <w:r w:rsidRPr="00AB4EC6">
              <w:rPr>
                <w:rFonts w:ascii="Arial" w:hAnsi="Arial"/>
                <w:bCs/>
                <w:sz w:val="20"/>
                <w:vertAlign w:val="superscript"/>
              </w:rPr>
              <w:t>4</w:t>
            </w:r>
            <w:r w:rsidRPr="00AB4EC6">
              <w:rPr>
                <w:rFonts w:ascii="Arial" w:hAnsi="Arial"/>
                <w:bCs/>
                <w:sz w:val="20"/>
              </w:rPr>
              <w:t xml:space="preserve"> after second loss of MMR.</w:t>
            </w:r>
          </w:p>
          <w:p w:rsidR="005F7418" w:rsidRPr="00AB4EC6" w:rsidRDefault="005F7418" w:rsidP="005F7418">
            <w:pPr>
              <w:numPr>
                <w:ilvl w:val="0"/>
                <w:numId w:val="6"/>
              </w:numPr>
              <w:spacing w:before="40" w:afterLines="40" w:after="96"/>
              <w:rPr>
                <w:rFonts w:ascii="Arial" w:eastAsia="Times New Roman" w:hAnsi="Arial"/>
                <w:bCs/>
                <w:sz w:val="20"/>
              </w:rPr>
            </w:pPr>
            <w:r w:rsidRPr="00AB4EC6">
              <w:rPr>
                <w:rFonts w:ascii="Arial" w:hAnsi="Arial"/>
                <w:bCs/>
                <w:sz w:val="20"/>
              </w:rPr>
              <w:t>Adverse events related to second TKI stop, clinical and biological factors correlated to development of these AEs.</w:t>
            </w:r>
          </w:p>
        </w:tc>
      </w:tr>
      <w:tr w:rsidR="005F7418" w:rsidRPr="000B7386" w:rsidTr="00D813C7">
        <w:tc>
          <w:tcPr>
            <w:tcW w:w="2622" w:type="dxa"/>
            <w:shd w:val="clear" w:color="auto" w:fill="auto"/>
          </w:tcPr>
          <w:p w:rsidR="005F7418" w:rsidRDefault="005F7418" w:rsidP="00D813C7">
            <w:pPr>
              <w:spacing w:before="40" w:afterLines="40" w:after="96"/>
              <w:rPr>
                <w:rFonts w:ascii="Arial" w:hAnsi="Arial"/>
                <w:bCs/>
                <w:sz w:val="20"/>
              </w:rPr>
            </w:pPr>
            <w:r w:rsidRPr="000B7386">
              <w:rPr>
                <w:rFonts w:ascii="Arial" w:hAnsi="Arial"/>
                <w:bCs/>
                <w:sz w:val="20"/>
              </w:rPr>
              <w:t>INCLUSION CRITERIA</w:t>
            </w:r>
            <w:r>
              <w:rPr>
                <w:rFonts w:ascii="Arial" w:hAnsi="Arial"/>
                <w:bCs/>
                <w:sz w:val="20"/>
              </w:rPr>
              <w:t>-</w:t>
            </w:r>
          </w:p>
          <w:p w:rsidR="005F7418" w:rsidRPr="000B7386" w:rsidRDefault="005F7418" w:rsidP="00D813C7">
            <w:pPr>
              <w:spacing w:before="40" w:afterLines="40" w:after="96"/>
              <w:rPr>
                <w:rFonts w:ascii="Arial" w:hAnsi="Arial"/>
                <w:bCs/>
                <w:sz w:val="20"/>
              </w:rPr>
            </w:pPr>
            <w:r>
              <w:rPr>
                <w:rFonts w:ascii="Arial" w:hAnsi="Arial"/>
                <w:bCs/>
                <w:sz w:val="20"/>
              </w:rPr>
              <w:t>SHORT</w:t>
            </w:r>
          </w:p>
        </w:tc>
        <w:tc>
          <w:tcPr>
            <w:tcW w:w="6662" w:type="dxa"/>
            <w:shd w:val="clear" w:color="auto" w:fill="auto"/>
          </w:tcPr>
          <w:p w:rsidR="005F7418" w:rsidRPr="00CA66BC" w:rsidRDefault="005F7418" w:rsidP="00D813C7">
            <w:pPr>
              <w:pStyle w:val="Liststycke"/>
              <w:numPr>
                <w:ilvl w:val="0"/>
                <w:numId w:val="1"/>
              </w:numPr>
              <w:spacing w:before="40" w:afterLines="40" w:after="96" w:line="276" w:lineRule="auto"/>
              <w:rPr>
                <w:rFonts w:ascii="Arial" w:hAnsi="Arial"/>
                <w:bCs/>
                <w:sz w:val="20"/>
                <w:szCs w:val="20"/>
              </w:rPr>
            </w:pPr>
            <w:r w:rsidRPr="00CA66BC">
              <w:rPr>
                <w:rFonts w:ascii="Arial" w:hAnsi="Arial"/>
                <w:bCs/>
                <w:sz w:val="20"/>
                <w:szCs w:val="20"/>
              </w:rPr>
              <w:t>CML in CP under TKI treatment after failing a prior attempt to stop treatment within EURO-SKI or outside the study but according to EURO-SKI trial procedures. For the latter group this requires at least 3 years of TKI treatment (first line or second line due to intolerance to first line) before first stop, and MR4 for at least one year before stopping</w:t>
            </w:r>
            <w:r>
              <w:rPr>
                <w:rFonts w:ascii="Arial" w:hAnsi="Arial"/>
                <w:bCs/>
                <w:sz w:val="20"/>
                <w:szCs w:val="20"/>
              </w:rPr>
              <w:t>.</w:t>
            </w:r>
          </w:p>
          <w:p w:rsidR="005F7418" w:rsidRPr="00CA66BC" w:rsidRDefault="005F7418" w:rsidP="00D813C7">
            <w:pPr>
              <w:numPr>
                <w:ilvl w:val="0"/>
                <w:numId w:val="1"/>
              </w:numPr>
              <w:spacing w:before="40" w:afterLines="40" w:after="96" w:line="276" w:lineRule="auto"/>
              <w:jc w:val="both"/>
              <w:rPr>
                <w:rFonts w:ascii="Arial" w:hAnsi="Arial"/>
                <w:sz w:val="20"/>
                <w:szCs w:val="20"/>
              </w:rPr>
            </w:pPr>
            <w:r w:rsidRPr="00CA66BC">
              <w:rPr>
                <w:rFonts w:ascii="Arial" w:hAnsi="Arial"/>
                <w:bCs/>
                <w:sz w:val="20"/>
                <w:szCs w:val="20"/>
              </w:rPr>
              <w:t>Treated with TKI for at least one year after having failed a prior attempt to stop TKI. Previous TKI can be any.</w:t>
            </w:r>
          </w:p>
          <w:p w:rsidR="005F7418" w:rsidRPr="00CA66BC" w:rsidRDefault="005F7418" w:rsidP="00D813C7">
            <w:pPr>
              <w:pStyle w:val="Liststycke"/>
              <w:numPr>
                <w:ilvl w:val="0"/>
                <w:numId w:val="1"/>
              </w:numPr>
              <w:rPr>
                <w:rFonts w:ascii="Arial" w:hAnsi="Arial"/>
                <w:sz w:val="20"/>
                <w:szCs w:val="20"/>
              </w:rPr>
            </w:pPr>
            <w:r w:rsidRPr="00CA66BC">
              <w:rPr>
                <w:rFonts w:ascii="Arial" w:hAnsi="Arial"/>
                <w:bCs/>
                <w:sz w:val="20"/>
                <w:szCs w:val="20"/>
              </w:rPr>
              <w:t>Typical BCR/ABL1 transcript (b3a2 and/or b2a2) must have been confirmed at diagnosis or later during the disease course.</w:t>
            </w:r>
          </w:p>
          <w:p w:rsidR="005F7418" w:rsidRPr="000B7386" w:rsidRDefault="005F7418" w:rsidP="00D813C7">
            <w:pPr>
              <w:spacing w:before="40" w:afterLines="40" w:after="96"/>
              <w:rPr>
                <w:rFonts w:ascii="Arial" w:hAnsi="Arial"/>
                <w:bCs/>
                <w:color w:val="000000"/>
                <w:sz w:val="20"/>
              </w:rPr>
            </w:pPr>
            <w:r w:rsidRPr="00CA7E22">
              <w:rPr>
                <w:rFonts w:ascii="Arial" w:hAnsi="Arial"/>
                <w:bCs/>
                <w:sz w:val="20"/>
                <w:szCs w:val="20"/>
              </w:rPr>
              <w:t xml:space="preserve">4. </w:t>
            </w:r>
            <w:r>
              <w:rPr>
                <w:rFonts w:ascii="Arial" w:hAnsi="Arial"/>
                <w:bCs/>
                <w:sz w:val="20"/>
                <w:szCs w:val="20"/>
              </w:rPr>
              <w:t xml:space="preserve">  </w:t>
            </w:r>
            <w:r w:rsidRPr="00CA7E22">
              <w:rPr>
                <w:rFonts w:ascii="Arial" w:hAnsi="Arial"/>
                <w:bCs/>
                <w:sz w:val="20"/>
                <w:szCs w:val="20"/>
              </w:rPr>
              <w:t>18 years or older</w:t>
            </w:r>
            <w:r>
              <w:rPr>
                <w:rFonts w:ascii="Arial" w:hAnsi="Arial"/>
                <w:bCs/>
                <w:sz w:val="20"/>
                <w:szCs w:val="20"/>
              </w:rPr>
              <w:t>.</w:t>
            </w: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EXCLUSION CRITERIA</w:t>
            </w:r>
          </w:p>
        </w:tc>
        <w:tc>
          <w:tcPr>
            <w:tcW w:w="6662" w:type="dxa"/>
            <w:shd w:val="clear" w:color="auto" w:fill="auto"/>
          </w:tcPr>
          <w:p w:rsidR="005F7418" w:rsidRPr="00E44B4E" w:rsidRDefault="005F7418" w:rsidP="005F7418">
            <w:pPr>
              <w:pStyle w:val="Liststycke"/>
              <w:numPr>
                <w:ilvl w:val="0"/>
                <w:numId w:val="4"/>
              </w:numPr>
              <w:spacing w:before="40" w:afterLines="40" w:after="96"/>
              <w:rPr>
                <w:rFonts w:ascii="Arial" w:hAnsi="Arial" w:cs="Arial"/>
                <w:bCs/>
                <w:sz w:val="20"/>
                <w:szCs w:val="20"/>
                <w:lang w:val="en-US"/>
              </w:rPr>
            </w:pPr>
            <w:r w:rsidRPr="00E44B4E">
              <w:rPr>
                <w:rFonts w:ascii="Arial" w:hAnsi="Arial" w:cs="Arial"/>
                <w:bCs/>
                <w:sz w:val="20"/>
                <w:szCs w:val="20"/>
                <w:lang w:val="en-US"/>
              </w:rPr>
              <w:t>Previous hematological relapse after first stop of TKI.</w:t>
            </w:r>
          </w:p>
          <w:p w:rsidR="005F7418" w:rsidRPr="00E44B4E" w:rsidRDefault="005F7418" w:rsidP="005F7418">
            <w:pPr>
              <w:pStyle w:val="Liststycke"/>
              <w:numPr>
                <w:ilvl w:val="0"/>
                <w:numId w:val="4"/>
              </w:numPr>
              <w:spacing w:before="40" w:afterLines="40" w:after="96"/>
              <w:rPr>
                <w:rFonts w:ascii="Arial" w:hAnsi="Arial" w:cs="Arial"/>
                <w:bCs/>
                <w:sz w:val="20"/>
                <w:szCs w:val="20"/>
                <w:lang w:val="en-US"/>
              </w:rPr>
            </w:pPr>
            <w:r w:rsidRPr="00E44B4E">
              <w:rPr>
                <w:rFonts w:ascii="Arial" w:hAnsi="Arial" w:cs="Arial"/>
                <w:bCs/>
                <w:sz w:val="20"/>
                <w:szCs w:val="20"/>
                <w:lang w:val="en-US"/>
              </w:rPr>
              <w:t>Previous AP/BC at any time in the history of the disease.</w:t>
            </w:r>
          </w:p>
          <w:p w:rsidR="005F7418" w:rsidRPr="00E44B4E" w:rsidRDefault="005F7418" w:rsidP="005F7418">
            <w:pPr>
              <w:pStyle w:val="Liststycke"/>
              <w:numPr>
                <w:ilvl w:val="0"/>
                <w:numId w:val="4"/>
              </w:numPr>
              <w:spacing w:before="40" w:afterLines="40" w:after="96"/>
              <w:jc w:val="both"/>
              <w:rPr>
                <w:rFonts w:ascii="Arial" w:hAnsi="Arial" w:cs="Arial"/>
                <w:bCs/>
                <w:sz w:val="20"/>
                <w:szCs w:val="20"/>
                <w:lang w:val="en-US"/>
              </w:rPr>
            </w:pPr>
            <w:r w:rsidRPr="00E44B4E">
              <w:rPr>
                <w:rFonts w:ascii="Arial" w:hAnsi="Arial" w:cs="Arial"/>
                <w:bCs/>
                <w:sz w:val="20"/>
                <w:szCs w:val="20"/>
                <w:lang w:val="en-US"/>
              </w:rPr>
              <w:t>Restart of TKI without loss of MMR after first stop</w:t>
            </w:r>
          </w:p>
          <w:p w:rsidR="005F7418" w:rsidRPr="00E44B4E" w:rsidRDefault="005F7418" w:rsidP="005F7418">
            <w:pPr>
              <w:pStyle w:val="Liststycke"/>
              <w:numPr>
                <w:ilvl w:val="0"/>
                <w:numId w:val="4"/>
              </w:numPr>
              <w:spacing w:before="40" w:afterLines="40" w:after="96"/>
              <w:jc w:val="both"/>
              <w:rPr>
                <w:rFonts w:ascii="Arial" w:hAnsi="Arial" w:cs="Arial"/>
                <w:bCs/>
                <w:sz w:val="20"/>
                <w:szCs w:val="20"/>
                <w:lang w:val="en-US"/>
              </w:rPr>
            </w:pPr>
            <w:r w:rsidRPr="00E44B4E">
              <w:rPr>
                <w:rFonts w:ascii="Arial" w:hAnsi="Arial" w:cs="Arial"/>
                <w:bCs/>
                <w:sz w:val="20"/>
                <w:szCs w:val="20"/>
              </w:rPr>
              <w:t xml:space="preserve">Current participation in </w:t>
            </w:r>
            <w:r>
              <w:rPr>
                <w:rFonts w:ascii="Arial" w:hAnsi="Arial" w:cs="Arial"/>
                <w:bCs/>
                <w:sz w:val="20"/>
                <w:szCs w:val="20"/>
              </w:rPr>
              <w:t>an</w:t>
            </w:r>
            <w:r w:rsidRPr="00E44B4E">
              <w:rPr>
                <w:rFonts w:ascii="Arial" w:hAnsi="Arial" w:cs="Arial"/>
                <w:bCs/>
                <w:sz w:val="20"/>
                <w:szCs w:val="20"/>
              </w:rPr>
              <w:t>other clinical study.</w:t>
            </w:r>
          </w:p>
          <w:p w:rsidR="005F7418" w:rsidRPr="00E44B4E" w:rsidRDefault="005F7418" w:rsidP="005F7418">
            <w:pPr>
              <w:pStyle w:val="Liststycke"/>
              <w:numPr>
                <w:ilvl w:val="0"/>
                <w:numId w:val="4"/>
              </w:numPr>
              <w:spacing w:before="100" w:beforeAutospacing="1"/>
              <w:rPr>
                <w:rFonts w:ascii="Arial" w:hAnsi="Arial" w:cs="Arial"/>
                <w:color w:val="FF0000"/>
                <w:sz w:val="20"/>
                <w:szCs w:val="20"/>
                <w:lang w:val="en-US"/>
              </w:rPr>
            </w:pPr>
            <w:r w:rsidRPr="00E44B4E">
              <w:rPr>
                <w:rFonts w:ascii="Arial" w:hAnsi="Arial" w:cs="Arial"/>
                <w:sz w:val="20"/>
                <w:szCs w:val="20"/>
              </w:rPr>
              <w:t>Previous or planned allogeneic stem cell transplantation</w:t>
            </w:r>
            <w:r w:rsidRPr="00E44B4E">
              <w:rPr>
                <w:rFonts w:ascii="Arial" w:hAnsi="Arial" w:cs="Arial"/>
                <w:color w:val="FF0000"/>
                <w:sz w:val="20"/>
                <w:szCs w:val="20"/>
              </w:rPr>
              <w:t>.</w:t>
            </w:r>
          </w:p>
          <w:p w:rsidR="005F7418" w:rsidRPr="005C5AFF" w:rsidRDefault="005F7418" w:rsidP="005F7418">
            <w:pPr>
              <w:pStyle w:val="Liststycke"/>
              <w:numPr>
                <w:ilvl w:val="0"/>
                <w:numId w:val="4"/>
              </w:numPr>
              <w:spacing w:before="40" w:afterLines="40" w:after="96"/>
              <w:rPr>
                <w:rFonts w:ascii="Arial" w:hAnsi="Arial"/>
                <w:bCs/>
                <w:sz w:val="20"/>
              </w:rPr>
            </w:pPr>
            <w:r w:rsidRPr="00E44B4E">
              <w:rPr>
                <w:rFonts w:ascii="Arial" w:hAnsi="Arial" w:cs="Arial"/>
                <w:sz w:val="20"/>
                <w:szCs w:val="20"/>
                <w:lang w:val="en-US"/>
              </w:rPr>
              <w:t xml:space="preserve">Patients </w:t>
            </w:r>
            <w:r>
              <w:rPr>
                <w:rFonts w:ascii="Arial" w:hAnsi="Arial" w:cs="Arial"/>
                <w:sz w:val="20"/>
                <w:szCs w:val="20"/>
                <w:lang w:val="en-US"/>
              </w:rPr>
              <w:t>with contra-indications to</w:t>
            </w:r>
            <w:r w:rsidRPr="00E44B4E">
              <w:rPr>
                <w:rFonts w:ascii="Arial" w:hAnsi="Arial" w:cs="Arial"/>
                <w:sz w:val="20"/>
                <w:szCs w:val="20"/>
                <w:lang w:val="en-US"/>
              </w:rPr>
              <w:t xml:space="preserve"> dasatinib therapy due to comorbidities</w:t>
            </w:r>
            <w:r>
              <w:rPr>
                <w:rFonts w:ascii="Arial" w:hAnsi="Arial" w:cs="Arial"/>
                <w:sz w:val="20"/>
                <w:szCs w:val="20"/>
                <w:lang w:val="en-US"/>
              </w:rPr>
              <w:t>.</w:t>
            </w:r>
          </w:p>
          <w:p w:rsidR="005F7418" w:rsidRPr="00830982" w:rsidRDefault="005F7418" w:rsidP="005F7418">
            <w:pPr>
              <w:pStyle w:val="Liststycke"/>
              <w:numPr>
                <w:ilvl w:val="0"/>
                <w:numId w:val="4"/>
              </w:numPr>
              <w:spacing w:before="40" w:afterLines="40" w:after="96"/>
              <w:rPr>
                <w:rFonts w:ascii="Arial" w:hAnsi="Arial" w:cs="Arial"/>
                <w:bCs/>
                <w:sz w:val="20"/>
                <w:szCs w:val="20"/>
              </w:rPr>
            </w:pPr>
            <w:r w:rsidRPr="00457434">
              <w:rPr>
                <w:rFonts w:ascii="Arial" w:hAnsi="Arial" w:cs="Arial"/>
                <w:sz w:val="20"/>
                <w:szCs w:val="20"/>
              </w:rPr>
              <w:t>Subjects wit</w:t>
            </w:r>
            <w:r>
              <w:rPr>
                <w:rFonts w:ascii="Arial" w:hAnsi="Arial" w:cs="Arial"/>
                <w:sz w:val="20"/>
                <w:szCs w:val="20"/>
              </w:rPr>
              <w:t>h acute hepatitis B virus (HBV) infections.</w:t>
            </w:r>
          </w:p>
          <w:p w:rsidR="005F7418" w:rsidRPr="008E6413" w:rsidRDefault="005F7418" w:rsidP="005F7418">
            <w:pPr>
              <w:pStyle w:val="Liststycke"/>
              <w:numPr>
                <w:ilvl w:val="0"/>
                <w:numId w:val="4"/>
              </w:numPr>
              <w:spacing w:before="40" w:afterLines="40" w:after="96"/>
              <w:rPr>
                <w:rFonts w:ascii="Arial" w:hAnsi="Arial" w:cs="Arial"/>
                <w:bCs/>
                <w:sz w:val="20"/>
                <w:szCs w:val="20"/>
              </w:rPr>
            </w:pPr>
            <w:r w:rsidRPr="00830982">
              <w:rPr>
                <w:rFonts w:ascii="Arial" w:hAnsi="Arial" w:cs="Arial"/>
                <w:color w:val="000000" w:themeColor="text1"/>
                <w:sz w:val="20"/>
                <w:szCs w:val="20"/>
              </w:rPr>
              <w:t>Uncontrolled or significant cardiovascular disease.</w:t>
            </w:r>
          </w:p>
          <w:p w:rsidR="005F7418" w:rsidRPr="00F952CA" w:rsidRDefault="005F7418" w:rsidP="005F7418">
            <w:pPr>
              <w:pStyle w:val="BMSBullets"/>
              <w:numPr>
                <w:ilvl w:val="0"/>
                <w:numId w:val="4"/>
              </w:numPr>
              <w:rPr>
                <w:rFonts w:ascii="Arial" w:hAnsi="Arial" w:cs="Arial"/>
                <w:color w:val="auto"/>
                <w:sz w:val="22"/>
                <w:szCs w:val="22"/>
              </w:rPr>
            </w:pPr>
            <w:r w:rsidRPr="008E6413">
              <w:rPr>
                <w:rFonts w:ascii="Arial" w:hAnsi="Arial" w:cs="Arial"/>
                <w:color w:val="auto"/>
                <w:sz w:val="20"/>
              </w:rPr>
              <w:t>Pulmonary arterial hypertension</w:t>
            </w:r>
            <w:r>
              <w:rPr>
                <w:rFonts w:ascii="Arial" w:hAnsi="Arial" w:cs="Arial"/>
                <w:color w:val="auto"/>
                <w:sz w:val="22"/>
                <w:szCs w:val="22"/>
              </w:rPr>
              <w:t>.</w:t>
            </w:r>
          </w:p>
          <w:p w:rsidR="005F7418" w:rsidRPr="008E6413" w:rsidRDefault="005F7418" w:rsidP="005F7418">
            <w:pPr>
              <w:pStyle w:val="Liststycke"/>
              <w:numPr>
                <w:ilvl w:val="0"/>
                <w:numId w:val="4"/>
              </w:numPr>
              <w:spacing w:before="40" w:afterLines="40" w:after="96"/>
              <w:rPr>
                <w:rFonts w:ascii="Arial" w:hAnsi="Arial" w:cs="Arial"/>
                <w:bCs/>
                <w:sz w:val="20"/>
                <w:szCs w:val="20"/>
              </w:rPr>
            </w:pPr>
            <w:r w:rsidRPr="008E6413">
              <w:rPr>
                <w:rFonts w:ascii="Arial" w:hAnsi="Arial" w:cs="Arial"/>
                <w:sz w:val="20"/>
                <w:szCs w:val="20"/>
              </w:rPr>
              <w:t>Pleural or pericardial effusions of any grade at study entry are excluded</w:t>
            </w:r>
          </w:p>
          <w:p w:rsidR="005F7418" w:rsidRPr="00707B56" w:rsidRDefault="005F7418" w:rsidP="005F7418">
            <w:pPr>
              <w:pStyle w:val="Liststycke"/>
              <w:numPr>
                <w:ilvl w:val="0"/>
                <w:numId w:val="4"/>
              </w:numPr>
              <w:spacing w:before="40" w:afterLines="40" w:after="96"/>
              <w:rPr>
                <w:rFonts w:ascii="Arial" w:hAnsi="Arial" w:cs="Arial"/>
                <w:bCs/>
                <w:sz w:val="20"/>
                <w:szCs w:val="20"/>
              </w:rPr>
            </w:pPr>
            <w:r w:rsidRPr="008E6413">
              <w:rPr>
                <w:rFonts w:ascii="Arial" w:hAnsi="Arial" w:cs="Arial"/>
                <w:sz w:val="20"/>
                <w:szCs w:val="20"/>
              </w:rPr>
              <w:t>History of significant bleeding disorder unrelated to CML</w:t>
            </w:r>
          </w:p>
          <w:p w:rsidR="005F7418" w:rsidRPr="008204B0" w:rsidRDefault="005F7418" w:rsidP="005F7418">
            <w:pPr>
              <w:pStyle w:val="Liststycke"/>
              <w:numPr>
                <w:ilvl w:val="0"/>
                <w:numId w:val="4"/>
              </w:numPr>
              <w:spacing w:before="40" w:afterLines="40" w:after="96"/>
              <w:rPr>
                <w:rFonts w:ascii="Arial" w:hAnsi="Arial" w:cs="Arial"/>
                <w:bCs/>
                <w:sz w:val="20"/>
                <w:szCs w:val="20"/>
              </w:rPr>
            </w:pPr>
            <w:r w:rsidRPr="008204B0">
              <w:rPr>
                <w:rFonts w:ascii="Arial" w:hAnsi="Arial" w:cs="Arial"/>
                <w:sz w:val="20"/>
                <w:szCs w:val="20"/>
              </w:rPr>
              <w:t xml:space="preserve">Hypersensitivity </w:t>
            </w:r>
            <w:r>
              <w:rPr>
                <w:rFonts w:ascii="Arial" w:hAnsi="Arial" w:cs="Arial"/>
                <w:sz w:val="20"/>
                <w:szCs w:val="20"/>
              </w:rPr>
              <w:t>to d</w:t>
            </w:r>
            <w:r w:rsidRPr="008204B0">
              <w:rPr>
                <w:rFonts w:ascii="Arial" w:hAnsi="Arial" w:cs="Arial"/>
                <w:sz w:val="20"/>
                <w:szCs w:val="20"/>
              </w:rPr>
              <w:t>asatinib</w:t>
            </w:r>
            <w:r>
              <w:rPr>
                <w:rFonts w:ascii="Arial" w:hAnsi="Arial" w:cs="Arial"/>
                <w:sz w:val="20"/>
                <w:szCs w:val="20"/>
              </w:rPr>
              <w:t xml:space="preserve"> and excipients of dasatinib tablets.</w:t>
            </w:r>
          </w:p>
        </w:tc>
      </w:tr>
      <w:tr w:rsidR="005F7418" w:rsidRPr="000B7386" w:rsidTr="00D813C7">
        <w:trPr>
          <w:trHeight w:val="4625"/>
        </w:trPr>
        <w:tc>
          <w:tcPr>
            <w:tcW w:w="2622" w:type="dxa"/>
            <w:shd w:val="clear" w:color="auto" w:fill="auto"/>
          </w:tcPr>
          <w:p w:rsidR="005F7418" w:rsidRPr="000B7386" w:rsidRDefault="005F7418" w:rsidP="00D813C7">
            <w:pPr>
              <w:spacing w:before="40" w:afterLines="40" w:after="96"/>
              <w:rPr>
                <w:rFonts w:ascii="Arial" w:hAnsi="Arial"/>
                <w:sz w:val="20"/>
              </w:rPr>
            </w:pPr>
            <w:r w:rsidRPr="000B7386">
              <w:rPr>
                <w:rFonts w:ascii="Arial" w:hAnsi="Arial"/>
                <w:bCs/>
                <w:sz w:val="20"/>
              </w:rPr>
              <w:lastRenderedPageBreak/>
              <w:t>TRIAL PROCEDURES AND MONITORING  OF PATIENTS</w:t>
            </w:r>
          </w:p>
        </w:tc>
        <w:tc>
          <w:tcPr>
            <w:tcW w:w="6662" w:type="dxa"/>
            <w:shd w:val="clear" w:color="auto" w:fill="auto"/>
          </w:tcPr>
          <w:p w:rsidR="005F7418" w:rsidRPr="000B7386" w:rsidRDefault="005F7418" w:rsidP="00D813C7">
            <w:pPr>
              <w:spacing w:before="40" w:afterLines="40" w:after="96"/>
              <w:jc w:val="both"/>
              <w:rPr>
                <w:rFonts w:ascii="Arial" w:hAnsi="Arial"/>
                <w:b/>
                <w:sz w:val="20"/>
              </w:rPr>
            </w:pPr>
            <w:r w:rsidRPr="000B7386">
              <w:rPr>
                <w:rFonts w:ascii="Arial" w:hAnsi="Arial"/>
                <w:b/>
                <w:sz w:val="20"/>
              </w:rPr>
              <w:t>Trial procedures:</w:t>
            </w:r>
          </w:p>
          <w:p w:rsidR="005F7418" w:rsidRPr="000B7386" w:rsidRDefault="005F7418" w:rsidP="005F7418">
            <w:pPr>
              <w:numPr>
                <w:ilvl w:val="0"/>
                <w:numId w:val="2"/>
              </w:numPr>
              <w:spacing w:before="40" w:afterLines="40" w:after="96"/>
              <w:ind w:left="280" w:hanging="280"/>
              <w:contextualSpacing/>
              <w:jc w:val="both"/>
              <w:rPr>
                <w:rFonts w:ascii="Arial" w:eastAsia="Calibri" w:hAnsi="Arial" w:cs="Arial"/>
                <w:sz w:val="20"/>
                <w:szCs w:val="20"/>
                <w:lang w:eastAsia="it-IT"/>
              </w:rPr>
            </w:pPr>
            <w:r w:rsidRPr="000B7386">
              <w:rPr>
                <w:rFonts w:ascii="Arial" w:eastAsia="Calibri" w:hAnsi="Arial" w:cs="Arial"/>
                <w:sz w:val="20"/>
                <w:szCs w:val="20"/>
                <w:lang w:eastAsia="it-IT"/>
              </w:rPr>
              <w:t>After inclusion in 2</w:t>
            </w:r>
            <w:r w:rsidRPr="000B7386">
              <w:rPr>
                <w:rFonts w:ascii="Arial" w:eastAsia="Calibri" w:hAnsi="Arial" w:cs="Arial"/>
                <w:sz w:val="20"/>
                <w:szCs w:val="20"/>
                <w:vertAlign w:val="superscript"/>
                <w:lang w:eastAsia="it-IT"/>
              </w:rPr>
              <w:t>nd</w:t>
            </w:r>
            <w:r w:rsidRPr="000B7386">
              <w:rPr>
                <w:rFonts w:ascii="Arial" w:eastAsia="Calibri" w:hAnsi="Arial" w:cs="Arial"/>
                <w:sz w:val="20"/>
                <w:szCs w:val="20"/>
                <w:lang w:eastAsia="it-IT"/>
              </w:rPr>
              <w:t xml:space="preserve"> Stop, patients will be treated with dasatinib at a starting dose of 70-100 mg/day at the discretion of the investigator or 100 mg/day 5 days/week with dose reduction to 50</w:t>
            </w:r>
            <w:r>
              <w:rPr>
                <w:rFonts w:ascii="Arial" w:eastAsia="Calibri" w:hAnsi="Arial" w:cs="Arial"/>
                <w:sz w:val="20"/>
                <w:szCs w:val="20"/>
                <w:lang w:eastAsia="it-IT"/>
              </w:rPr>
              <w:t xml:space="preserve"> </w:t>
            </w:r>
            <w:r w:rsidRPr="000B7386">
              <w:rPr>
                <w:rFonts w:ascii="Arial" w:eastAsia="Calibri" w:hAnsi="Arial" w:cs="Arial"/>
                <w:sz w:val="20"/>
                <w:szCs w:val="20"/>
                <w:lang w:eastAsia="it-IT"/>
              </w:rPr>
              <w:t>mg/day if side effects occur.</w:t>
            </w:r>
            <w:r>
              <w:rPr>
                <w:rFonts w:ascii="Arial" w:eastAsia="Calibri" w:hAnsi="Arial" w:cs="Arial"/>
                <w:sz w:val="20"/>
                <w:szCs w:val="20"/>
                <w:lang w:eastAsia="it-IT"/>
              </w:rPr>
              <w:t>If the patient have been treated with 50 mg once daily before entering the study ,it is possible for the patient to enter the study at this dose, if the patient is in deep molecular response (MR4).</w:t>
            </w:r>
          </w:p>
          <w:p w:rsidR="005F7418" w:rsidRPr="000B7386" w:rsidRDefault="005F7418" w:rsidP="005F7418">
            <w:pPr>
              <w:numPr>
                <w:ilvl w:val="0"/>
                <w:numId w:val="2"/>
              </w:numPr>
              <w:spacing w:before="40" w:afterLines="40" w:after="96"/>
              <w:ind w:left="280" w:hanging="280"/>
              <w:contextualSpacing/>
              <w:jc w:val="both"/>
              <w:rPr>
                <w:rFonts w:ascii="Arial" w:eastAsia="Calibri" w:hAnsi="Arial" w:cs="Arial"/>
                <w:sz w:val="20"/>
                <w:szCs w:val="20"/>
                <w:lang w:eastAsia="it-IT"/>
              </w:rPr>
            </w:pPr>
            <w:r w:rsidRPr="000B7386">
              <w:rPr>
                <w:rFonts w:ascii="Arial" w:eastAsia="Calibri" w:hAnsi="Arial" w:cs="Arial"/>
                <w:sz w:val="20"/>
                <w:szCs w:val="20"/>
                <w:lang w:eastAsia="it-IT"/>
              </w:rPr>
              <w:t xml:space="preserve">After a total of 3 years </w:t>
            </w:r>
            <w:r>
              <w:rPr>
                <w:rFonts w:ascii="Arial" w:eastAsia="Calibri" w:hAnsi="Arial" w:cs="Arial"/>
                <w:sz w:val="20"/>
                <w:szCs w:val="20"/>
                <w:lang w:eastAsia="it-IT"/>
              </w:rPr>
              <w:t xml:space="preserve">of </w:t>
            </w:r>
            <w:r w:rsidRPr="000B7386">
              <w:rPr>
                <w:rFonts w:ascii="Arial" w:eastAsia="Calibri" w:hAnsi="Arial" w:cs="Arial"/>
                <w:sz w:val="20"/>
                <w:szCs w:val="20"/>
                <w:lang w:eastAsia="it-IT"/>
              </w:rPr>
              <w:t>post-relapse of TKI treatment of which the last 2 years should be with dasatinib</w:t>
            </w:r>
            <w:r>
              <w:rPr>
                <w:rFonts w:ascii="Arial" w:eastAsia="Calibri" w:hAnsi="Arial" w:cs="Arial"/>
                <w:sz w:val="20"/>
                <w:szCs w:val="20"/>
                <w:lang w:eastAsia="it-IT"/>
              </w:rPr>
              <w:t>,</w:t>
            </w:r>
            <w:r w:rsidRPr="000B7386">
              <w:rPr>
                <w:rFonts w:ascii="Arial" w:eastAsia="Calibri" w:hAnsi="Arial" w:cs="Arial"/>
                <w:sz w:val="20"/>
                <w:szCs w:val="20"/>
                <w:lang w:eastAsia="it-IT"/>
              </w:rPr>
              <w:t xml:space="preserve"> patients are eligible for a second stop attempt if they also have re-achieved and maintained stable MR</w:t>
            </w:r>
            <w:r w:rsidRPr="000B7386">
              <w:rPr>
                <w:rFonts w:ascii="Arial" w:eastAsia="Calibri" w:hAnsi="Arial" w:cs="Arial"/>
                <w:sz w:val="20"/>
                <w:szCs w:val="20"/>
                <w:vertAlign w:val="superscript"/>
                <w:lang w:eastAsia="it-IT"/>
              </w:rPr>
              <w:t>4</w:t>
            </w:r>
            <w:r w:rsidRPr="000B7386">
              <w:rPr>
                <w:rFonts w:ascii="Arial" w:eastAsia="Calibri" w:hAnsi="Arial" w:cs="Arial"/>
                <w:sz w:val="20"/>
                <w:szCs w:val="20"/>
                <w:lang w:eastAsia="it-IT"/>
              </w:rPr>
              <w:t xml:space="preserve"> during the last 12 months before 2</w:t>
            </w:r>
            <w:r w:rsidRPr="000B7386">
              <w:rPr>
                <w:rFonts w:ascii="Arial" w:eastAsia="Calibri" w:hAnsi="Arial" w:cs="Arial"/>
                <w:sz w:val="20"/>
                <w:szCs w:val="20"/>
                <w:vertAlign w:val="superscript"/>
                <w:lang w:eastAsia="it-IT"/>
              </w:rPr>
              <w:t>nd</w:t>
            </w:r>
            <w:r w:rsidRPr="000B7386">
              <w:rPr>
                <w:rFonts w:ascii="Arial" w:eastAsia="Calibri" w:hAnsi="Arial" w:cs="Arial"/>
                <w:sz w:val="20"/>
                <w:szCs w:val="20"/>
                <w:lang w:eastAsia="it-IT"/>
              </w:rPr>
              <w:t xml:space="preserve"> discontinuation attempt.</w:t>
            </w:r>
          </w:p>
          <w:p w:rsidR="005F7418" w:rsidRPr="000B7386" w:rsidRDefault="005F7418" w:rsidP="005F7418">
            <w:pPr>
              <w:numPr>
                <w:ilvl w:val="0"/>
                <w:numId w:val="2"/>
              </w:numPr>
              <w:spacing w:before="40" w:afterLines="40" w:after="96"/>
              <w:ind w:left="280" w:hanging="280"/>
              <w:contextualSpacing/>
              <w:jc w:val="both"/>
              <w:rPr>
                <w:rFonts w:ascii="Arial" w:eastAsia="Calibri" w:hAnsi="Arial" w:cs="Arial"/>
                <w:sz w:val="20"/>
                <w:szCs w:val="20"/>
                <w:lang w:eastAsia="it-IT"/>
              </w:rPr>
            </w:pPr>
            <w:r w:rsidRPr="000B7386">
              <w:rPr>
                <w:rFonts w:ascii="Arial" w:eastAsia="Calibri" w:hAnsi="Arial" w:cs="Arial"/>
                <w:sz w:val="20"/>
                <w:szCs w:val="20"/>
                <w:lang w:eastAsia="it-IT"/>
              </w:rPr>
              <w:t>Before dasatinib is stopped, MR</w:t>
            </w:r>
            <w:r w:rsidRPr="000B7386">
              <w:rPr>
                <w:rFonts w:ascii="Arial" w:eastAsia="Calibri" w:hAnsi="Arial" w:cs="Arial"/>
                <w:sz w:val="20"/>
                <w:szCs w:val="20"/>
                <w:vertAlign w:val="superscript"/>
                <w:lang w:eastAsia="it-IT"/>
              </w:rPr>
              <w:t>4</w:t>
            </w:r>
            <w:r w:rsidRPr="000B7386">
              <w:rPr>
                <w:rFonts w:ascii="Arial" w:eastAsia="Calibri" w:hAnsi="Arial" w:cs="Arial"/>
                <w:sz w:val="20"/>
                <w:szCs w:val="20"/>
                <w:lang w:eastAsia="it-IT"/>
              </w:rPr>
              <w:t xml:space="preserve"> should be confirmed and TKI therapy should be stopped within 6 weeks of this MR</w:t>
            </w:r>
            <w:r w:rsidRPr="000B7386">
              <w:rPr>
                <w:rFonts w:ascii="Arial" w:eastAsia="Calibri" w:hAnsi="Arial" w:cs="Arial"/>
                <w:sz w:val="20"/>
                <w:szCs w:val="20"/>
                <w:vertAlign w:val="superscript"/>
                <w:lang w:eastAsia="it-IT"/>
              </w:rPr>
              <w:t>4</w:t>
            </w:r>
            <w:r w:rsidRPr="000B7386">
              <w:rPr>
                <w:rFonts w:ascii="Arial" w:eastAsia="Calibri" w:hAnsi="Arial" w:cs="Arial"/>
                <w:sz w:val="20"/>
                <w:szCs w:val="20"/>
                <w:lang w:eastAsia="it-IT"/>
              </w:rPr>
              <w:t xml:space="preserve"> confrimation.</w:t>
            </w:r>
          </w:p>
          <w:p w:rsidR="005F7418" w:rsidRPr="009F16B8" w:rsidRDefault="005F7418" w:rsidP="005F7418">
            <w:pPr>
              <w:numPr>
                <w:ilvl w:val="0"/>
                <w:numId w:val="2"/>
              </w:numPr>
              <w:spacing w:before="40" w:afterLines="40" w:after="96"/>
              <w:ind w:left="280" w:hanging="280"/>
              <w:contextualSpacing/>
              <w:jc w:val="both"/>
              <w:rPr>
                <w:rFonts w:ascii="Arial" w:hAnsi="Arial" w:cs="Arial"/>
                <w:sz w:val="20"/>
                <w:szCs w:val="20"/>
              </w:rPr>
            </w:pPr>
            <w:r w:rsidRPr="000B7386">
              <w:rPr>
                <w:rFonts w:ascii="Arial" w:eastAsia="Calibri" w:hAnsi="Arial" w:cs="Arial"/>
                <w:sz w:val="20"/>
                <w:szCs w:val="20"/>
                <w:lang w:eastAsia="it-IT"/>
              </w:rPr>
              <w:t xml:space="preserve">After </w:t>
            </w:r>
            <w:r>
              <w:rPr>
                <w:rFonts w:ascii="Arial" w:eastAsia="Calibri" w:hAnsi="Arial" w:cs="Arial"/>
                <w:sz w:val="20"/>
                <w:szCs w:val="20"/>
                <w:lang w:eastAsia="it-IT"/>
              </w:rPr>
              <w:t>2</w:t>
            </w:r>
            <w:r w:rsidRPr="00217B9C">
              <w:rPr>
                <w:rFonts w:ascii="Arial" w:eastAsia="Calibri" w:hAnsi="Arial" w:cs="Arial"/>
                <w:sz w:val="20"/>
                <w:szCs w:val="20"/>
                <w:vertAlign w:val="superscript"/>
                <w:lang w:eastAsia="it-IT"/>
              </w:rPr>
              <w:t>nd</w:t>
            </w:r>
            <w:r>
              <w:rPr>
                <w:rFonts w:ascii="Arial" w:eastAsia="Calibri" w:hAnsi="Arial" w:cs="Arial"/>
                <w:sz w:val="20"/>
                <w:szCs w:val="20"/>
                <w:lang w:eastAsia="it-IT"/>
              </w:rPr>
              <w:t xml:space="preserve"> </w:t>
            </w:r>
            <w:r w:rsidRPr="000B7386">
              <w:rPr>
                <w:rFonts w:ascii="Arial" w:eastAsia="Calibri" w:hAnsi="Arial" w:cs="Arial"/>
                <w:sz w:val="20"/>
                <w:szCs w:val="20"/>
                <w:lang w:eastAsia="it-IT"/>
              </w:rPr>
              <w:t xml:space="preserve">TKI </w:t>
            </w:r>
            <w:r>
              <w:rPr>
                <w:rFonts w:ascii="Arial" w:eastAsia="Calibri" w:hAnsi="Arial" w:cs="Arial"/>
                <w:sz w:val="20"/>
                <w:szCs w:val="20"/>
                <w:lang w:eastAsia="it-IT"/>
              </w:rPr>
              <w:t>discontinuation,</w:t>
            </w:r>
            <w:r w:rsidRPr="000B7386">
              <w:rPr>
                <w:rFonts w:ascii="Arial" w:eastAsia="Calibri" w:hAnsi="Arial" w:cs="Arial"/>
                <w:sz w:val="20"/>
                <w:szCs w:val="20"/>
                <w:lang w:eastAsia="it-IT"/>
              </w:rPr>
              <w:t xml:space="preserve"> patients are monitored as follows:</w:t>
            </w:r>
            <w:r w:rsidRPr="000B7386" w:rsidDel="009838E0">
              <w:rPr>
                <w:rFonts w:ascii="Arial" w:eastAsia="Calibri" w:hAnsi="Arial" w:cs="Arial"/>
                <w:sz w:val="20"/>
                <w:szCs w:val="20"/>
                <w:lang w:eastAsia="it-IT"/>
              </w:rPr>
              <w:t xml:space="preserve"> </w:t>
            </w:r>
            <w:r w:rsidRPr="000B7386">
              <w:rPr>
                <w:rFonts w:ascii="Arial" w:eastAsia="Calibri" w:hAnsi="Arial" w:cs="Arial"/>
                <w:sz w:val="20"/>
                <w:szCs w:val="20"/>
                <w:lang w:eastAsia="it-IT"/>
              </w:rPr>
              <w:t>Hematological monitoring and q-RT-PCR of BCR/ABL1:</w:t>
            </w:r>
            <w:r>
              <w:rPr>
                <w:rFonts w:ascii="Arial" w:eastAsia="Calibri" w:hAnsi="Arial" w:cs="Arial"/>
                <w:sz w:val="20"/>
                <w:szCs w:val="20"/>
                <w:lang w:eastAsia="it-IT"/>
              </w:rPr>
              <w:t xml:space="preserve"> </w:t>
            </w:r>
            <w:r w:rsidRPr="000B7386">
              <w:rPr>
                <w:rFonts w:ascii="Arial" w:eastAsia="Calibri" w:hAnsi="Arial" w:cs="Arial"/>
                <w:sz w:val="20"/>
                <w:szCs w:val="20"/>
                <w:lang w:eastAsia="it-IT"/>
              </w:rPr>
              <w:t xml:space="preserve">Month 1-6 monthly, month 7-12 every 1.5 months, and thereafter once every three months. Clinical monitoring every 3 months </w:t>
            </w:r>
            <w:r w:rsidRPr="000B7386">
              <w:rPr>
                <w:rFonts w:ascii="Arial" w:eastAsia="Calibri" w:hAnsi="Arial" w:cs="Arial"/>
                <w:bCs/>
                <w:sz w:val="20"/>
                <w:szCs w:val="20"/>
                <w:lang w:eastAsia="it-IT"/>
              </w:rPr>
              <w:t>during 3 years.</w:t>
            </w:r>
          </w:p>
          <w:p w:rsidR="005F7418" w:rsidRPr="00530F44" w:rsidRDefault="005F7418" w:rsidP="005F7418">
            <w:pPr>
              <w:numPr>
                <w:ilvl w:val="0"/>
                <w:numId w:val="2"/>
              </w:numPr>
              <w:spacing w:before="40" w:afterLines="40" w:after="96"/>
              <w:ind w:left="280" w:hanging="280"/>
              <w:contextualSpacing/>
              <w:jc w:val="both"/>
              <w:rPr>
                <w:rFonts w:ascii="Arial" w:hAnsi="Arial" w:cs="Arial"/>
                <w:sz w:val="20"/>
                <w:szCs w:val="20"/>
              </w:rPr>
            </w:pPr>
            <w:r w:rsidRPr="00530F44">
              <w:rPr>
                <w:rFonts w:ascii="Arial" w:hAnsi="Arial" w:cs="Arial"/>
                <w:sz w:val="20"/>
                <w:szCs w:val="20"/>
              </w:rPr>
              <w:t>Relapse is defined as BCR-ABL1 &gt;0.1% on I</w:t>
            </w:r>
            <w:r>
              <w:rPr>
                <w:rFonts w:ascii="Arial" w:hAnsi="Arial" w:cs="Arial"/>
                <w:sz w:val="20"/>
                <w:szCs w:val="20"/>
              </w:rPr>
              <w:t>.</w:t>
            </w:r>
            <w:r w:rsidRPr="00530F44">
              <w:rPr>
                <w:rFonts w:ascii="Arial" w:hAnsi="Arial" w:cs="Arial"/>
                <w:sz w:val="20"/>
                <w:szCs w:val="20"/>
              </w:rPr>
              <w:t>S</w:t>
            </w:r>
            <w:r>
              <w:rPr>
                <w:rFonts w:ascii="Arial" w:hAnsi="Arial" w:cs="Arial"/>
                <w:sz w:val="20"/>
                <w:szCs w:val="20"/>
              </w:rPr>
              <w:t>.</w:t>
            </w:r>
            <w:r w:rsidRPr="00530F44">
              <w:rPr>
                <w:rFonts w:ascii="Arial" w:hAnsi="Arial" w:cs="Arial"/>
                <w:sz w:val="20"/>
                <w:szCs w:val="20"/>
              </w:rPr>
              <w:t xml:space="preserve"> at a single time point (loss of MMR/MR</w:t>
            </w:r>
            <w:r w:rsidRPr="00530F44">
              <w:rPr>
                <w:rFonts w:ascii="Arial" w:hAnsi="Arial" w:cs="Arial"/>
                <w:sz w:val="20"/>
                <w:szCs w:val="20"/>
                <w:vertAlign w:val="superscript"/>
              </w:rPr>
              <w:t>3</w:t>
            </w:r>
            <w:r w:rsidRPr="00530F44">
              <w:rPr>
                <w:rFonts w:ascii="Arial" w:hAnsi="Arial" w:cs="Arial"/>
                <w:sz w:val="20"/>
                <w:szCs w:val="20"/>
              </w:rPr>
              <w:t>)</w:t>
            </w:r>
            <w:r>
              <w:rPr>
                <w:rFonts w:ascii="Arial" w:hAnsi="Arial" w:cs="Arial"/>
                <w:sz w:val="20"/>
                <w:szCs w:val="20"/>
              </w:rPr>
              <w:t xml:space="preserve"> and </w:t>
            </w:r>
            <w:r w:rsidRPr="009F16B8">
              <w:rPr>
                <w:rFonts w:ascii="Arial" w:hAnsi="Arial" w:cs="Arial"/>
                <w:sz w:val="20"/>
                <w:szCs w:val="20"/>
              </w:rPr>
              <w:t>should lead to immediate restart of TKI, type and dose at the discretion of the treating physician.</w:t>
            </w:r>
          </w:p>
          <w:p w:rsidR="005F7418" w:rsidRPr="00062E76" w:rsidRDefault="005F7418" w:rsidP="005F7418">
            <w:pPr>
              <w:numPr>
                <w:ilvl w:val="0"/>
                <w:numId w:val="2"/>
              </w:numPr>
              <w:spacing w:before="40" w:afterLines="40" w:after="96"/>
              <w:ind w:left="280" w:hanging="280"/>
              <w:contextualSpacing/>
              <w:jc w:val="both"/>
            </w:pPr>
            <w:r w:rsidRPr="00530F44">
              <w:rPr>
                <w:rFonts w:ascii="Arial" w:hAnsi="Arial" w:cs="Arial"/>
                <w:sz w:val="20"/>
                <w:szCs w:val="20"/>
              </w:rPr>
              <w:t xml:space="preserve">If relapse occurs, the patient could countinue with dasatinib during one year </w:t>
            </w:r>
            <w:r>
              <w:rPr>
                <w:rFonts w:ascii="Arial" w:hAnsi="Arial" w:cs="Arial"/>
                <w:sz w:val="20"/>
                <w:szCs w:val="20"/>
              </w:rPr>
              <w:t>on</w:t>
            </w:r>
            <w:r w:rsidRPr="00530F44">
              <w:rPr>
                <w:rFonts w:ascii="Arial" w:hAnsi="Arial" w:cs="Arial"/>
                <w:sz w:val="20"/>
                <w:szCs w:val="20"/>
              </w:rPr>
              <w:t xml:space="preserve"> study (study drug).</w:t>
            </w: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TRIAL DURATION</w:t>
            </w:r>
          </w:p>
        </w:tc>
        <w:tc>
          <w:tcPr>
            <w:tcW w:w="666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 xml:space="preserve">2 years for inclusion of patients, </w:t>
            </w:r>
            <w:r>
              <w:rPr>
                <w:rFonts w:ascii="Arial" w:hAnsi="Arial"/>
                <w:bCs/>
                <w:sz w:val="20"/>
              </w:rPr>
              <w:t xml:space="preserve">2 years with dasatinib treatment and </w:t>
            </w:r>
            <w:r w:rsidRPr="000B7386">
              <w:rPr>
                <w:rFonts w:ascii="Arial" w:hAnsi="Arial"/>
                <w:bCs/>
                <w:sz w:val="20"/>
              </w:rPr>
              <w:t xml:space="preserve">3 years of follow-up. </w:t>
            </w: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NUMBER OF PATIENTS</w:t>
            </w:r>
          </w:p>
        </w:tc>
        <w:tc>
          <w:tcPr>
            <w:tcW w:w="6662" w:type="dxa"/>
            <w:shd w:val="clear" w:color="auto" w:fill="auto"/>
          </w:tcPr>
          <w:p w:rsidR="005F7418" w:rsidRPr="000B7386" w:rsidRDefault="005F7418" w:rsidP="00D813C7">
            <w:pPr>
              <w:spacing w:before="40" w:afterLines="40" w:after="96"/>
              <w:rPr>
                <w:rFonts w:ascii="Arial" w:hAnsi="Arial"/>
                <w:bCs/>
                <w:sz w:val="20"/>
              </w:rPr>
            </w:pPr>
            <w:r w:rsidRPr="000B7386">
              <w:rPr>
                <w:rFonts w:ascii="Arial" w:hAnsi="Arial"/>
                <w:bCs/>
                <w:sz w:val="20"/>
              </w:rPr>
              <w:t>111 patients needed for substudies</w:t>
            </w:r>
            <w:r>
              <w:rPr>
                <w:rFonts w:ascii="Arial" w:hAnsi="Arial"/>
                <w:bCs/>
                <w:sz w:val="20"/>
              </w:rPr>
              <w:t xml:space="preserve"> in total for core and substudies.</w:t>
            </w:r>
          </w:p>
          <w:p w:rsidR="005F7418" w:rsidRPr="000B7386" w:rsidRDefault="005F7418" w:rsidP="00D813C7">
            <w:pPr>
              <w:spacing w:before="40" w:afterLines="40" w:after="96"/>
              <w:rPr>
                <w:rFonts w:ascii="Arial" w:hAnsi="Arial"/>
                <w:bCs/>
                <w:sz w:val="20"/>
              </w:rPr>
            </w:pPr>
            <w:r w:rsidRPr="000B7386">
              <w:rPr>
                <w:rFonts w:ascii="Arial" w:hAnsi="Arial"/>
                <w:bCs/>
                <w:sz w:val="20"/>
              </w:rPr>
              <w:t xml:space="preserve">Compensation for drop outs: </w:t>
            </w:r>
            <w:r>
              <w:rPr>
                <w:rFonts w:ascii="Arial" w:hAnsi="Arial"/>
                <w:bCs/>
                <w:sz w:val="20"/>
              </w:rPr>
              <w:t>23</w:t>
            </w:r>
            <w:r w:rsidRPr="000B7386">
              <w:rPr>
                <w:rFonts w:ascii="Arial" w:hAnsi="Arial"/>
                <w:bCs/>
                <w:sz w:val="20"/>
              </w:rPr>
              <w:t xml:space="preserve"> additional patients to be included in clinical core study. This is based on the percentage of patients stopping treatment in the Dasision study for factors due to intolerance, treatment failure and</w:t>
            </w:r>
            <w:r>
              <w:rPr>
                <w:rFonts w:ascii="Arial" w:hAnsi="Arial"/>
                <w:bCs/>
                <w:sz w:val="20"/>
              </w:rPr>
              <w:t xml:space="preserve"> </w:t>
            </w:r>
            <w:r w:rsidRPr="000B7386">
              <w:rPr>
                <w:rFonts w:ascii="Arial" w:hAnsi="Arial"/>
                <w:bCs/>
                <w:sz w:val="20"/>
              </w:rPr>
              <w:t>“other reasons” (Jabbour 2014)</w:t>
            </w:r>
          </w:p>
        </w:tc>
      </w:tr>
      <w:tr w:rsidR="005F7418" w:rsidRPr="000B7386" w:rsidTr="00D813C7">
        <w:tc>
          <w:tcPr>
            <w:tcW w:w="2622" w:type="dxa"/>
            <w:shd w:val="clear" w:color="auto" w:fill="auto"/>
          </w:tcPr>
          <w:p w:rsidR="005F7418" w:rsidRPr="000B7386" w:rsidRDefault="005F7418" w:rsidP="00D813C7">
            <w:pPr>
              <w:spacing w:before="40" w:afterLines="40" w:after="96"/>
              <w:rPr>
                <w:rFonts w:ascii="Arial" w:hAnsi="Arial"/>
                <w:bCs/>
                <w:sz w:val="20"/>
                <w:szCs w:val="20"/>
              </w:rPr>
            </w:pPr>
            <w:r w:rsidRPr="000B7386">
              <w:rPr>
                <w:rFonts w:ascii="Arial" w:hAnsi="Arial"/>
                <w:bCs/>
                <w:sz w:val="20"/>
                <w:szCs w:val="20"/>
              </w:rPr>
              <w:t>PROPOSED</w:t>
            </w:r>
            <w:r w:rsidRPr="000B7386">
              <w:rPr>
                <w:rFonts w:ascii="Arial" w:hAnsi="Arial"/>
                <w:bCs/>
                <w:sz w:val="20"/>
                <w:szCs w:val="20"/>
              </w:rPr>
              <w:br/>
              <w:t>SUB-STUDIES</w:t>
            </w:r>
          </w:p>
        </w:tc>
        <w:tc>
          <w:tcPr>
            <w:tcW w:w="6662" w:type="dxa"/>
            <w:shd w:val="clear" w:color="auto" w:fill="auto"/>
          </w:tcPr>
          <w:p w:rsidR="005F7418" w:rsidRPr="00676D37" w:rsidRDefault="005F7418" w:rsidP="005F7418">
            <w:pPr>
              <w:pStyle w:val="Liststycke"/>
              <w:numPr>
                <w:ilvl w:val="0"/>
                <w:numId w:val="7"/>
              </w:numPr>
              <w:spacing w:before="40" w:afterLines="40" w:after="96"/>
              <w:rPr>
                <w:rFonts w:ascii="Arial" w:hAnsi="Arial"/>
                <w:bCs/>
                <w:sz w:val="20"/>
              </w:rPr>
            </w:pPr>
            <w:r w:rsidRPr="00676D37">
              <w:rPr>
                <w:rFonts w:ascii="Arial" w:hAnsi="Arial"/>
                <w:sz w:val="20"/>
              </w:rPr>
              <w:t>Immunophenotyping of lymphocyte subsets.</w:t>
            </w:r>
          </w:p>
          <w:p w:rsidR="005F7418" w:rsidRPr="00676D37" w:rsidRDefault="005F7418" w:rsidP="005F7418">
            <w:pPr>
              <w:pStyle w:val="Liststycke"/>
              <w:numPr>
                <w:ilvl w:val="0"/>
                <w:numId w:val="7"/>
              </w:numPr>
              <w:spacing w:before="40" w:afterLines="40" w:after="96"/>
              <w:rPr>
                <w:rFonts w:ascii="Arial" w:hAnsi="Arial"/>
                <w:bCs/>
                <w:sz w:val="20"/>
              </w:rPr>
            </w:pPr>
            <w:r w:rsidRPr="00676D37">
              <w:rPr>
                <w:rFonts w:ascii="Arial" w:hAnsi="Arial"/>
                <w:sz w:val="20"/>
              </w:rPr>
              <w:t>Assessment of antileukemic cytotoxic T-cell responses.</w:t>
            </w:r>
          </w:p>
          <w:p w:rsidR="005F7418" w:rsidRPr="00676D37" w:rsidRDefault="005F7418" w:rsidP="005F7418">
            <w:pPr>
              <w:pStyle w:val="Liststycke"/>
              <w:numPr>
                <w:ilvl w:val="0"/>
                <w:numId w:val="7"/>
              </w:numPr>
              <w:spacing w:before="40" w:afterLines="40" w:after="96"/>
              <w:rPr>
                <w:rFonts w:ascii="Arial" w:hAnsi="Arial"/>
                <w:bCs/>
                <w:sz w:val="20"/>
              </w:rPr>
            </w:pPr>
            <w:r w:rsidRPr="00676D37">
              <w:rPr>
                <w:rFonts w:ascii="Arial" w:hAnsi="Arial"/>
                <w:sz w:val="20"/>
              </w:rPr>
              <w:t>Plasma cytokine profiling.</w:t>
            </w:r>
          </w:p>
          <w:p w:rsidR="005F7418" w:rsidRPr="00676D37" w:rsidRDefault="005F7418" w:rsidP="005F7418">
            <w:pPr>
              <w:pStyle w:val="Liststycke"/>
              <w:numPr>
                <w:ilvl w:val="0"/>
                <w:numId w:val="7"/>
              </w:numPr>
              <w:spacing w:before="40" w:afterLines="40" w:after="96"/>
              <w:rPr>
                <w:rFonts w:ascii="Arial" w:hAnsi="Arial"/>
                <w:bCs/>
                <w:sz w:val="20"/>
              </w:rPr>
            </w:pPr>
            <w:r w:rsidRPr="00676D37">
              <w:rPr>
                <w:rFonts w:ascii="Arial" w:hAnsi="Arial"/>
                <w:sz w:val="20"/>
              </w:rPr>
              <w:t>Functional assessments of NK and T cells.</w:t>
            </w:r>
          </w:p>
          <w:p w:rsidR="005F7418" w:rsidRPr="00676D37" w:rsidRDefault="005F7418" w:rsidP="005F7418">
            <w:pPr>
              <w:pStyle w:val="Liststycke"/>
              <w:numPr>
                <w:ilvl w:val="0"/>
                <w:numId w:val="7"/>
              </w:numPr>
              <w:spacing w:before="40" w:afterLines="40" w:after="96"/>
              <w:rPr>
                <w:rFonts w:ascii="Arial" w:hAnsi="Arial"/>
                <w:bCs/>
                <w:sz w:val="20"/>
              </w:rPr>
            </w:pPr>
            <w:r w:rsidRPr="00676D37">
              <w:rPr>
                <w:rFonts w:ascii="Arial" w:hAnsi="Arial"/>
                <w:sz w:val="20"/>
              </w:rPr>
              <w:t>Immunological monitoring-plasmacytoid DCs.</w:t>
            </w:r>
          </w:p>
          <w:p w:rsidR="005F7418" w:rsidRPr="00676D37" w:rsidRDefault="005F7418" w:rsidP="005F7418">
            <w:pPr>
              <w:pStyle w:val="Liststycke"/>
              <w:numPr>
                <w:ilvl w:val="0"/>
                <w:numId w:val="7"/>
              </w:numPr>
              <w:spacing w:before="40" w:afterLines="40" w:after="96"/>
              <w:rPr>
                <w:rFonts w:ascii="Arial" w:hAnsi="Arial"/>
                <w:bCs/>
                <w:sz w:val="20"/>
              </w:rPr>
            </w:pPr>
            <w:r w:rsidRPr="00676D37">
              <w:rPr>
                <w:rFonts w:ascii="Arial" w:hAnsi="Arial"/>
                <w:sz w:val="20"/>
              </w:rPr>
              <w:t>Evaluation of soluble CD62L levels and TACE.</w:t>
            </w:r>
            <w:r w:rsidRPr="00676D37">
              <w:rPr>
                <w:rFonts w:ascii="Arial" w:hAnsi="Arial"/>
                <w:sz w:val="20"/>
              </w:rPr>
              <w:br/>
              <w:t>activity as relapse risk sensing tools.</w:t>
            </w:r>
          </w:p>
          <w:p w:rsidR="005F7418" w:rsidRPr="00676D37" w:rsidRDefault="005F7418" w:rsidP="005F7418">
            <w:pPr>
              <w:pStyle w:val="Liststycke"/>
              <w:numPr>
                <w:ilvl w:val="0"/>
                <w:numId w:val="7"/>
              </w:numPr>
              <w:spacing w:before="40" w:afterLines="40" w:after="96"/>
              <w:rPr>
                <w:rFonts w:ascii="Arial" w:hAnsi="Arial"/>
                <w:bCs/>
                <w:sz w:val="20"/>
              </w:rPr>
            </w:pPr>
            <w:r w:rsidRPr="00676D37">
              <w:rPr>
                <w:rFonts w:ascii="Arial" w:hAnsi="Arial"/>
                <w:bCs/>
                <w:sz w:val="20"/>
              </w:rPr>
              <w:t>TCR repertoire analysis by deep sequencing.</w:t>
            </w:r>
          </w:p>
          <w:p w:rsidR="005F7418" w:rsidRPr="00676D37" w:rsidRDefault="005F7418" w:rsidP="005F7418">
            <w:pPr>
              <w:pStyle w:val="Liststycke"/>
              <w:numPr>
                <w:ilvl w:val="0"/>
                <w:numId w:val="7"/>
              </w:numPr>
              <w:spacing w:before="40" w:afterLines="40" w:after="96"/>
              <w:rPr>
                <w:rFonts w:ascii="Arial" w:hAnsi="Arial"/>
                <w:bCs/>
                <w:sz w:val="20"/>
              </w:rPr>
            </w:pPr>
            <w:r w:rsidRPr="00676D37">
              <w:rPr>
                <w:rFonts w:ascii="Arial" w:hAnsi="Arial"/>
                <w:bCs/>
                <w:sz w:val="20"/>
              </w:rPr>
              <w:t>Kir genotyping.</w:t>
            </w:r>
          </w:p>
          <w:p w:rsidR="005F7418" w:rsidRPr="00676D37" w:rsidRDefault="005F7418" w:rsidP="005F7418">
            <w:pPr>
              <w:pStyle w:val="Liststycke"/>
              <w:numPr>
                <w:ilvl w:val="0"/>
                <w:numId w:val="7"/>
              </w:numPr>
              <w:spacing w:before="40" w:afterLines="40" w:after="96"/>
              <w:rPr>
                <w:rFonts w:ascii="Arial" w:hAnsi="Arial"/>
                <w:bCs/>
                <w:sz w:val="20"/>
              </w:rPr>
            </w:pPr>
            <w:r w:rsidRPr="00676D37">
              <w:rPr>
                <w:rFonts w:ascii="Arial" w:hAnsi="Arial"/>
                <w:bCs/>
                <w:sz w:val="20"/>
              </w:rPr>
              <w:t>Cytof-based Immune-phospho-flow cytometry</w:t>
            </w:r>
          </w:p>
        </w:tc>
      </w:tr>
      <w:tr w:rsidR="005F7418" w:rsidRPr="000B7386" w:rsidTr="00D813C7">
        <w:tc>
          <w:tcPr>
            <w:tcW w:w="2622" w:type="dxa"/>
            <w:shd w:val="clear" w:color="auto" w:fill="auto"/>
          </w:tcPr>
          <w:p w:rsidR="005F7418" w:rsidRPr="004776B3" w:rsidRDefault="005F7418" w:rsidP="00D813C7">
            <w:pPr>
              <w:spacing w:before="40" w:afterLines="40" w:after="96"/>
              <w:rPr>
                <w:rFonts w:ascii="Arial" w:hAnsi="Arial" w:cs="Arial"/>
                <w:bCs/>
                <w:sz w:val="20"/>
                <w:szCs w:val="20"/>
              </w:rPr>
            </w:pPr>
            <w:r w:rsidRPr="004776B3">
              <w:rPr>
                <w:rFonts w:ascii="Arial" w:hAnsi="Arial" w:cs="Arial"/>
                <w:bCs/>
                <w:iCs/>
                <w:sz w:val="20"/>
                <w:szCs w:val="20"/>
              </w:rPr>
              <w:t xml:space="preserve">STUDY MILESTONE DATES </w:t>
            </w:r>
          </w:p>
        </w:tc>
        <w:tc>
          <w:tcPr>
            <w:tcW w:w="6662" w:type="dxa"/>
            <w:shd w:val="clear" w:color="auto" w:fill="auto"/>
          </w:tcPr>
          <w:p w:rsidR="005F7418" w:rsidRPr="004776B3" w:rsidRDefault="005F7418" w:rsidP="00D813C7">
            <w:pPr>
              <w:tabs>
                <w:tab w:val="left" w:pos="0"/>
              </w:tabs>
              <w:spacing w:line="360" w:lineRule="auto"/>
              <w:ind w:right="50"/>
              <w:rPr>
                <w:rFonts w:ascii="Arial" w:eastAsia="Times New Roman" w:hAnsi="Arial" w:cs="Arial"/>
                <w:iCs/>
                <w:sz w:val="20"/>
                <w:szCs w:val="20"/>
                <w:lang w:val="en-US" w:eastAsia="en-US" w:bidi="en-US"/>
              </w:rPr>
            </w:pPr>
            <w:r w:rsidRPr="004776B3">
              <w:rPr>
                <w:rFonts w:ascii="Arial" w:eastAsia="Times New Roman" w:hAnsi="Arial" w:cs="Arial"/>
                <w:bCs/>
                <w:iCs/>
                <w:sz w:val="20"/>
                <w:szCs w:val="20"/>
                <w:lang w:val="en-US" w:eastAsia="en-US" w:bidi="en-US"/>
              </w:rPr>
              <w:t xml:space="preserve">Study start: </w:t>
            </w:r>
            <w:r>
              <w:rPr>
                <w:rFonts w:ascii="Arial" w:eastAsia="Times New Roman" w:hAnsi="Arial" w:cs="Arial"/>
                <w:bCs/>
                <w:iCs/>
                <w:sz w:val="20"/>
                <w:szCs w:val="20"/>
                <w:lang w:val="en-US" w:eastAsia="en-US" w:bidi="en-US"/>
              </w:rPr>
              <w:t>MARCH</w:t>
            </w:r>
            <w:r w:rsidRPr="004776B3">
              <w:rPr>
                <w:rFonts w:ascii="Arial" w:eastAsia="Times New Roman" w:hAnsi="Arial" w:cs="Arial"/>
                <w:bCs/>
                <w:iCs/>
                <w:sz w:val="20"/>
                <w:szCs w:val="20"/>
                <w:lang w:val="en-US" w:eastAsia="en-US" w:bidi="en-US"/>
              </w:rPr>
              <w:t xml:space="preserve"> 201</w:t>
            </w:r>
            <w:r>
              <w:rPr>
                <w:rFonts w:ascii="Arial" w:eastAsia="Times New Roman" w:hAnsi="Arial" w:cs="Arial"/>
                <w:bCs/>
                <w:iCs/>
                <w:sz w:val="20"/>
                <w:szCs w:val="20"/>
                <w:lang w:val="en-US" w:eastAsia="en-US" w:bidi="en-US"/>
              </w:rPr>
              <w:t>7.</w:t>
            </w:r>
          </w:p>
          <w:p w:rsidR="005F7418" w:rsidRPr="004776B3" w:rsidRDefault="005F7418" w:rsidP="00D813C7">
            <w:pPr>
              <w:tabs>
                <w:tab w:val="left" w:pos="0"/>
              </w:tabs>
              <w:spacing w:line="360" w:lineRule="auto"/>
              <w:ind w:right="50"/>
              <w:rPr>
                <w:rFonts w:ascii="Arial" w:eastAsia="Times New Roman" w:hAnsi="Arial" w:cs="Arial"/>
                <w:iCs/>
                <w:sz w:val="20"/>
                <w:szCs w:val="20"/>
                <w:lang w:val="en-US" w:eastAsia="en-US" w:bidi="en-US"/>
              </w:rPr>
            </w:pPr>
            <w:r w:rsidRPr="004776B3">
              <w:rPr>
                <w:rFonts w:ascii="Arial" w:eastAsia="Times New Roman" w:hAnsi="Arial" w:cs="Arial"/>
                <w:bCs/>
                <w:iCs/>
                <w:sz w:val="20"/>
                <w:szCs w:val="20"/>
                <w:lang w:val="en-US" w:eastAsia="en-US" w:bidi="en-US"/>
              </w:rPr>
              <w:t xml:space="preserve">Recruitment end: Q4 2018. </w:t>
            </w:r>
          </w:p>
          <w:p w:rsidR="005F7418" w:rsidRPr="000B7386" w:rsidRDefault="005F7418" w:rsidP="00D813C7">
            <w:pPr>
              <w:tabs>
                <w:tab w:val="left" w:pos="0"/>
              </w:tabs>
              <w:spacing w:line="360" w:lineRule="auto"/>
              <w:ind w:right="50"/>
              <w:rPr>
                <w:rFonts w:ascii="Arial" w:hAnsi="Arial"/>
                <w:sz w:val="20"/>
              </w:rPr>
            </w:pPr>
            <w:r w:rsidRPr="004776B3">
              <w:rPr>
                <w:rFonts w:ascii="Arial" w:eastAsia="Times New Roman" w:hAnsi="Arial" w:cs="Arial"/>
                <w:iCs/>
                <w:sz w:val="20"/>
                <w:szCs w:val="20"/>
                <w:lang w:val="en-US" w:eastAsia="en-US" w:bidi="en-US"/>
              </w:rPr>
              <w:t>Study end: Q4 2020</w:t>
            </w:r>
            <w:r>
              <w:rPr>
                <w:rFonts w:ascii="Calibri" w:eastAsia="Times New Roman" w:hAnsi="Calibri" w:cs="Calibri"/>
                <w:iCs/>
                <w:lang w:val="en-US" w:eastAsia="en-US" w:bidi="en-US"/>
              </w:rPr>
              <w:t>.</w:t>
            </w:r>
          </w:p>
        </w:tc>
      </w:tr>
    </w:tbl>
    <w:p w:rsidR="00436B5F" w:rsidRDefault="00436B5F">
      <w:bookmarkStart w:id="0" w:name="_GoBack"/>
      <w:bookmarkEnd w:id="0"/>
    </w:p>
    <w:sectPr w:rsidR="00436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A16"/>
    <w:multiLevelType w:val="hybridMultilevel"/>
    <w:tmpl w:val="90FA69F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53660FB"/>
    <w:multiLevelType w:val="hybridMultilevel"/>
    <w:tmpl w:val="CE9EF788"/>
    <w:lvl w:ilvl="0" w:tplc="E654CE6E">
      <w:start w:val="1"/>
      <w:numFmt w:val="decimal"/>
      <w:lvlText w:val="%1."/>
      <w:lvlJc w:val="left"/>
      <w:pPr>
        <w:ind w:left="360" w:hanging="360"/>
      </w:pPr>
      <w:rPr>
        <w:rFonts w:ascii="Arial" w:hAnsi="Arial" w:cs="Arial" w:hint="default"/>
        <w:b w:val="0"/>
        <w:color w:val="auto"/>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4C039EE"/>
    <w:multiLevelType w:val="hybridMultilevel"/>
    <w:tmpl w:val="D2C09EC4"/>
    <w:lvl w:ilvl="0" w:tplc="4CC0EC76">
      <w:start w:val="1"/>
      <w:numFmt w:val="decimal"/>
      <w:lvlText w:val="%1."/>
      <w:lvlJc w:val="left"/>
      <w:pPr>
        <w:ind w:left="720" w:hanging="360"/>
      </w:pPr>
      <w:rPr>
        <w:rFonts w:ascii="Arial" w:hAnsi="Arial" w:cs="Arial" w:hint="default"/>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D85741"/>
    <w:multiLevelType w:val="hybridMultilevel"/>
    <w:tmpl w:val="C3C04094"/>
    <w:lvl w:ilvl="0" w:tplc="02EC908A">
      <w:start w:val="1"/>
      <w:numFmt w:val="decimal"/>
      <w:lvlText w:val="%1."/>
      <w:lvlJc w:val="left"/>
      <w:pPr>
        <w:ind w:left="360" w:hanging="360"/>
      </w:pPr>
      <w:rPr>
        <w:rFonts w:hint="default"/>
        <w:b w:val="0"/>
        <w:color w:val="00000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675270FF"/>
    <w:multiLevelType w:val="hybridMultilevel"/>
    <w:tmpl w:val="5DA4EF6C"/>
    <w:lvl w:ilvl="0" w:tplc="0409000F">
      <w:start w:val="1"/>
      <w:numFmt w:val="decimal"/>
      <w:lvlText w:val="%1."/>
      <w:lvlJc w:val="left"/>
      <w:pPr>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D34BE9"/>
    <w:multiLevelType w:val="hybridMultilevel"/>
    <w:tmpl w:val="F44A4112"/>
    <w:lvl w:ilvl="0" w:tplc="0EECC8C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73D349AD"/>
    <w:multiLevelType w:val="multilevel"/>
    <w:tmpl w:val="9D904C80"/>
    <w:lvl w:ilvl="0">
      <w:start w:val="1"/>
      <w:numFmt w:val="bullet"/>
      <w:pStyle w:val="BMSBullets"/>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2F"/>
    <w:rsid w:val="00436B5F"/>
    <w:rsid w:val="00441C2F"/>
    <w:rsid w:val="00543631"/>
    <w:rsid w:val="005F74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419EC-D4AD-4ECA-A379-93769D6E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7418"/>
    <w:pPr>
      <w:spacing w:after="0" w:line="240" w:lineRule="auto"/>
    </w:pPr>
    <w:rPr>
      <w:rFonts w:ascii="Times" w:eastAsia="Times" w:hAnsi="Times" w:cs="Times New Roman"/>
      <w:sz w:val="24"/>
      <w:szCs w:val="24"/>
      <w:lang w:val="en-GB"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5F7418"/>
    <w:pPr>
      <w:spacing w:before="120" w:after="120"/>
      <w:ind w:left="720"/>
      <w:contextualSpacing/>
    </w:pPr>
    <w:rPr>
      <w:rFonts w:ascii="CG Times (W1)" w:eastAsia="Calibri" w:hAnsi="CG Times (W1)"/>
      <w:lang w:eastAsia="it-IT"/>
    </w:rPr>
  </w:style>
  <w:style w:type="paragraph" w:customStyle="1" w:styleId="BMSBullets">
    <w:name w:val="BMS Bullets"/>
    <w:basedOn w:val="Normal"/>
    <w:link w:val="BMSBulletsChar"/>
    <w:rsid w:val="005F7418"/>
    <w:pPr>
      <w:numPr>
        <w:numId w:val="5"/>
      </w:numPr>
      <w:spacing w:after="60"/>
      <w:jc w:val="both"/>
    </w:pPr>
    <w:rPr>
      <w:rFonts w:ascii="Times New Roman" w:eastAsia="Times New Roman" w:hAnsi="Times New Roman"/>
      <w:color w:val="000000"/>
      <w:szCs w:val="20"/>
      <w:lang w:val="en-US" w:eastAsia="en-US"/>
    </w:rPr>
  </w:style>
  <w:style w:type="character" w:customStyle="1" w:styleId="BMSBulletsChar">
    <w:name w:val="BMS Bullets Char"/>
    <w:basedOn w:val="Standardstycketeckensnitt"/>
    <w:link w:val="BMSBullets"/>
    <w:rsid w:val="005F7418"/>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6114</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Olsson Strömberg</dc:creator>
  <cp:keywords/>
  <dc:description/>
  <cp:lastModifiedBy>Ulla Olsson Strömberg</cp:lastModifiedBy>
  <cp:revision>2</cp:revision>
  <dcterms:created xsi:type="dcterms:W3CDTF">2018-01-05T08:34:00Z</dcterms:created>
  <dcterms:modified xsi:type="dcterms:W3CDTF">2018-01-05T08:34:00Z</dcterms:modified>
</cp:coreProperties>
</file>